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A1321" w:rsidRPr="001F2F9B" w:rsidRDefault="00CA1321" w:rsidP="00CA1321">
      <w:pPr>
        <w:spacing w:before="360"/>
        <w:jc w:val="center"/>
        <w:rPr>
          <w:rFonts w:ascii="Century Gothic" w:hAnsi="Century Gothic" w:cs="Century Gothic"/>
          <w:smallCaps/>
          <w:color w:val="5C2A59"/>
          <w:spacing w:val="5"/>
          <w:kern w:val="28"/>
          <w:sz w:val="72"/>
          <w:szCs w:val="72"/>
        </w:rPr>
      </w:pPr>
      <w:bookmarkStart w:id="0" w:name="_GoBack"/>
      <w:r w:rsidRPr="001F2F9B">
        <w:rPr>
          <w:noProof/>
          <w:lang w:val="es-ES" w:eastAsia="es-ES"/>
        </w:rPr>
        <w:drawing>
          <wp:anchor distT="0" distB="0" distL="114300" distR="114300" simplePos="0" relativeHeight="251659264" behindDoc="0" locked="0" layoutInCell="1" allowOverlap="1" wp14:anchorId="00BC84B8" wp14:editId="5B3C470E">
            <wp:simplePos x="0" y="0"/>
            <wp:positionH relativeFrom="column">
              <wp:posOffset>1852930</wp:posOffset>
            </wp:positionH>
            <wp:positionV relativeFrom="paragraph">
              <wp:posOffset>137795</wp:posOffset>
            </wp:positionV>
            <wp:extent cx="1983105" cy="582295"/>
            <wp:effectExtent l="0" t="0" r="0" b="0"/>
            <wp:wrapSquare wrapText="bothSides"/>
            <wp:docPr id="5159" name="Grafik 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bwMode="auto">
                    <a:xfrm>
                      <a:off x="0" y="0"/>
                      <a:ext cx="1983105" cy="582295"/>
                    </a:xfrm>
                    <a:prstGeom prst="rect">
                      <a:avLst/>
                    </a:prstGeom>
                  </pic:spPr>
                </pic:pic>
              </a:graphicData>
            </a:graphic>
            <wp14:sizeRelH relativeFrom="page">
              <wp14:pctWidth>0</wp14:pctWidth>
            </wp14:sizeRelH>
            <wp14:sizeRelV relativeFrom="page">
              <wp14:pctHeight>0</wp14:pctHeight>
            </wp14:sizeRelV>
          </wp:anchor>
        </w:drawing>
      </w:r>
      <w:bookmarkStart w:id="1" w:name="Annexes_12_Finland"/>
      <w:bookmarkEnd w:id="0"/>
    </w:p>
    <w:p w:rsidR="00CA1321" w:rsidRPr="001F2F9B" w:rsidRDefault="00CA1321" w:rsidP="00CA1321">
      <w:pPr>
        <w:spacing w:after="480"/>
        <w:jc w:val="center"/>
        <w:rPr>
          <w:rFonts w:ascii="Century Gothic" w:hAnsi="Century Gothic" w:cs="Century Gothic"/>
          <w:color w:val="5C2A59"/>
        </w:rPr>
      </w:pPr>
      <w:r w:rsidRPr="001F2F9B">
        <w:rPr>
          <w:rFonts w:ascii="Century Gothic" w:hAnsi="Century Gothic" w:cs="Century Gothic"/>
          <w:b/>
          <w:bCs/>
          <w:i/>
          <w:iCs/>
          <w:color w:val="5C2A59"/>
        </w:rPr>
        <w:t>Driv</w:t>
      </w:r>
      <w:r w:rsidRPr="001F2F9B">
        <w:rPr>
          <w:rFonts w:ascii="Century Gothic" w:hAnsi="Century Gothic" w:cs="Century Gothic"/>
          <w:color w:val="5C2A59"/>
        </w:rPr>
        <w:t xml:space="preserve">ing Innovation in Crisis Management for </w:t>
      </w:r>
      <w:r w:rsidRPr="001F2F9B">
        <w:rPr>
          <w:rFonts w:ascii="Century Gothic" w:hAnsi="Century Gothic" w:cs="Century Gothic"/>
          <w:b/>
          <w:bCs/>
          <w:i/>
          <w:iCs/>
          <w:color w:val="5C2A59"/>
        </w:rPr>
        <w:t>E</w:t>
      </w:r>
      <w:r w:rsidRPr="001F2F9B">
        <w:rPr>
          <w:rFonts w:ascii="Century Gothic" w:hAnsi="Century Gothic" w:cs="Century Gothic"/>
          <w:color w:val="5C2A59"/>
        </w:rPr>
        <w:t xml:space="preserve">uropean </w:t>
      </w:r>
      <w:r w:rsidRPr="001F2F9B">
        <w:rPr>
          <w:rFonts w:ascii="Century Gothic" w:hAnsi="Century Gothic" w:cs="Century Gothic"/>
          <w:b/>
          <w:bCs/>
          <w:i/>
          <w:iCs/>
          <w:color w:val="5C2A59"/>
        </w:rPr>
        <w:t>R</w:t>
      </w:r>
      <w:r w:rsidRPr="001F2F9B">
        <w:rPr>
          <w:rFonts w:ascii="Century Gothic" w:hAnsi="Century Gothic" w:cs="Century Gothic"/>
          <w:color w:val="5C2A59"/>
        </w:rPr>
        <w:t>esilience</w:t>
      </w:r>
    </w:p>
    <w:p w:rsidR="00CA1321" w:rsidRPr="001F2F9B" w:rsidRDefault="00CA1321" w:rsidP="00CA1321">
      <w:pPr>
        <w:pStyle w:val="Titel"/>
        <w:pageBreakBefore w:val="0"/>
        <w:jc w:val="center"/>
        <w:rPr>
          <w:rFonts w:cs="Times New Roman"/>
          <w:lang w:val="en-GB"/>
        </w:rPr>
      </w:pPr>
      <w:bookmarkStart w:id="2" w:name="_Toc444087601"/>
      <w:bookmarkStart w:id="3" w:name="_Toc444176174"/>
      <w:bookmarkStart w:id="4" w:name="_Toc444262707"/>
      <w:bookmarkStart w:id="5" w:name="_Toc445378497"/>
      <w:r w:rsidRPr="001F2F9B">
        <w:rPr>
          <w:rFonts w:cs="Times New Roman"/>
          <w:b/>
          <w:lang w:val="en-GB"/>
        </w:rPr>
        <w:t>FINLAND</w:t>
      </w:r>
      <w:r w:rsidRPr="001F2F9B">
        <w:rPr>
          <w:rFonts w:cs="Times New Roman"/>
          <w:lang w:val="en-GB"/>
        </w:rPr>
        <w:br/>
      </w:r>
      <w:r w:rsidRPr="001F2F9B">
        <w:rPr>
          <w:lang w:val="en-GB"/>
        </w:rPr>
        <w:t>Policy, Legislation, Organisation, Procedures &amp; Capabilities (PLOPC) in crisis management and disaster response</w:t>
      </w:r>
      <w:bookmarkEnd w:id="2"/>
      <w:bookmarkEnd w:id="3"/>
      <w:bookmarkEnd w:id="4"/>
      <w:bookmarkEnd w:id="5"/>
    </w:p>
    <w:p w:rsidR="00CA1321" w:rsidRPr="001F2F9B" w:rsidRDefault="00CA1321" w:rsidP="00CA1321">
      <w:pPr>
        <w:rPr>
          <w:i/>
        </w:rPr>
      </w:pPr>
      <w:r w:rsidRPr="001F2F9B">
        <w:rPr>
          <w:i/>
        </w:rPr>
        <w:t>Responsible Partner: FhG-INT (Isabell</w:t>
      </w:r>
      <w:r w:rsidRPr="001F2F9B">
        <w:rPr>
          <w:noProof/>
          <w:lang w:val="es-ES" w:eastAsia="es-ES"/>
        </w:rPr>
        <mc:AlternateContent>
          <mc:Choice Requires="wps">
            <w:drawing>
              <wp:anchor distT="0" distB="0" distL="114300" distR="114300" simplePos="0" relativeHeight="251660288" behindDoc="0" locked="0" layoutInCell="1" allowOverlap="1" wp14:anchorId="327ED77A" wp14:editId="471D3E22">
                <wp:simplePos x="0" y="0"/>
                <wp:positionH relativeFrom="margin">
                  <wp:align>center</wp:align>
                </wp:positionH>
                <wp:positionV relativeFrom="topMargin">
                  <wp:posOffset>8433435</wp:posOffset>
                </wp:positionV>
                <wp:extent cx="914400" cy="3096883"/>
                <wp:effectExtent l="0" t="0" r="25400" b="27940"/>
                <wp:wrapNone/>
                <wp:docPr id="5158" name="Textfeld 5158"/>
                <wp:cNvGraphicFramePr/>
                <a:graphic xmlns:a="http://schemas.openxmlformats.org/drawingml/2006/main">
                  <a:graphicData uri="http://schemas.microsoft.com/office/word/2010/wordprocessingShape">
                    <wps:wsp>
                      <wps:cNvSpPr txBox="1"/>
                      <wps:spPr>
                        <a:xfrm>
                          <a:off x="0" y="0"/>
                          <a:ext cx="914400" cy="3096883"/>
                        </a:xfrm>
                        <a:prstGeom prst="rect">
                          <a:avLst/>
                        </a:prstGeom>
                        <a:solidFill>
                          <a:sysClr val="window" lastClr="FFFFFF"/>
                        </a:solidFill>
                        <a:ln w="6350">
                          <a:solidFill>
                            <a:srgbClr val="5C2A59"/>
                          </a:solidFill>
                        </a:ln>
                        <a:effectLst/>
                      </wps:spPr>
                      <wps:txbx>
                        <w:txbxContent>
                          <w:p w:rsidR="00CA1321" w:rsidRDefault="00CA1321" w:rsidP="00CA1321">
                            <w:pPr>
                              <w:pStyle w:val="Untertitel"/>
                            </w:pPr>
                            <w:r>
                              <w:t>Scope and limitations</w:t>
                            </w:r>
                          </w:p>
                          <w:p w:rsidR="00CA1321" w:rsidRDefault="00CA1321" w:rsidP="00CA1321">
                            <w:pPr>
                              <w:rPr>
                                <w:color w:val="000000"/>
                              </w:rPr>
                            </w:pPr>
                            <w:r>
                              <w:rPr>
                                <w:color w:val="000000"/>
                              </w:rPr>
                              <w:t xml:space="preserve">This study serves as supporting information for </w:t>
                            </w:r>
                            <w:r w:rsidRPr="003A2236">
                              <w:rPr>
                                <w:color w:val="000000"/>
                              </w:rPr>
                              <w:t xml:space="preserve">further work within DRIVER. </w:t>
                            </w:r>
                          </w:p>
                          <w:p w:rsidR="00CA1321" w:rsidRDefault="00CA1321" w:rsidP="00CA1321">
                            <w:pPr>
                              <w:rPr>
                                <w:color w:val="000000"/>
                              </w:rPr>
                            </w:pPr>
                            <w:r w:rsidRPr="003A2236">
                              <w:rPr>
                                <w:color w:val="000000"/>
                              </w:rPr>
                              <w:t xml:space="preserve">Only limited time and budget has been </w:t>
                            </w:r>
                            <w:r>
                              <w:rPr>
                                <w:color w:val="000000"/>
                              </w:rPr>
                              <w:t>available for</w:t>
                            </w:r>
                            <w:r w:rsidRPr="003A2236">
                              <w:rPr>
                                <w:color w:val="000000"/>
                              </w:rPr>
                              <w:t xml:space="preserve"> this first </w:t>
                            </w:r>
                            <w:r>
                              <w:rPr>
                                <w:color w:val="000000"/>
                              </w:rPr>
                              <w:t xml:space="preserve">general </w:t>
                            </w:r>
                            <w:r w:rsidRPr="003A2236">
                              <w:rPr>
                                <w:color w:val="000000"/>
                              </w:rPr>
                              <w:t>survey, which needs to be considered in terms of scope and completeness of the respective studies.</w:t>
                            </w:r>
                          </w:p>
                          <w:p w:rsidR="00CA1321" w:rsidRDefault="00CA1321" w:rsidP="00CA1321">
                            <w:pPr>
                              <w:rPr>
                                <w:rStyle w:val="Hervorhebung"/>
                              </w:rPr>
                            </w:pPr>
                            <w:r>
                              <w:rPr>
                                <w:rStyle w:val="Hervorhebung"/>
                              </w:rPr>
                              <w:t>The author/s</w:t>
                            </w:r>
                            <w:r w:rsidRPr="007C5CAC">
                              <w:rPr>
                                <w:rStyle w:val="Hervorhebung"/>
                              </w:rPr>
                              <w:t xml:space="preserve"> of this study is/are responsible for its content and quality.</w:t>
                            </w:r>
                          </w:p>
                          <w:p w:rsidR="00CA1321" w:rsidRPr="001F5640" w:rsidRDefault="00CA1321" w:rsidP="00CA1321">
                            <w:pPr>
                              <w:rPr>
                                <w:rStyle w:val="Hervorhebung"/>
                              </w:rPr>
                            </w:pPr>
                            <w:r>
                              <w:t>This report was revised at the end of 2015, reviewed internally by CSDM and amended according to reviewer's comments and recommendations upon the decision of the author/s.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type w14:anchorId="327ED77A" id="_x0000_t202" coordsize="21600,21600" o:spt="202" path="m,l,21600r21600,l21600,xe">
                <v:stroke joinstyle="miter"/>
                <v:path gradientshapeok="t" o:connecttype="rect"/>
              </v:shapetype>
              <v:shape id="Textfeld 5158" o:spid="_x0000_s1026" type="#_x0000_t202" style="position:absolute;left:0;text-align:left;margin-left:0;margin-top:664.05pt;width:1in;height:243.85pt;z-index:251660288;visibility:visible;mso-wrap-style:none;mso-height-percent:0;mso-wrap-distance-left:9pt;mso-wrap-distance-top:0;mso-wrap-distance-right:9pt;mso-wrap-distance-bottom:0;mso-position-horizontal:center;mso-position-horizontal-relative:margin;mso-position-vertical:absolute;mso-position-vertical-relative:top-margin-area;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" fillcolor="window" strokecolor="#5c2a59" strokeweight=".5pt">
                <v:textbox style="mso-fit-shape-to-text:t">
                  <w:txbxContent>
                    <w:p w:rsidR="00CA1321" w:rsidRDefault="00CA1321" w:rsidP="00CA1321">
                      <w:pPr>
                        <w:pStyle w:val="Untertitel"/>
                      </w:pPr>
                      <w:r>
                        <w:t>Scope and limitations</w:t>
                      </w:r>
                    </w:p>
                    <w:p w:rsidR="00CA1321" w:rsidRDefault="00CA1321" w:rsidP="00CA1321">
                      <w:pPr>
                        <w:rPr>
                          <w:color w:val="000000"/>
                        </w:rPr>
                      </w:pPr>
                      <w:r>
                        <w:rPr>
                          <w:color w:val="000000"/>
                        </w:rPr>
                        <w:t xml:space="preserve">This study serves as supporting information for </w:t>
                      </w:r>
                      <w:r w:rsidRPr="003A2236">
                        <w:rPr>
                          <w:color w:val="000000"/>
                        </w:rPr>
                        <w:t xml:space="preserve">further work within DRIVER. </w:t>
                      </w:r>
                    </w:p>
                    <w:p w:rsidR="00CA1321" w:rsidRDefault="00CA1321" w:rsidP="00CA1321">
                      <w:pPr>
                        <w:rPr>
                          <w:color w:val="000000"/>
                        </w:rPr>
                      </w:pPr>
                      <w:r w:rsidRPr="003A2236">
                        <w:rPr>
                          <w:color w:val="000000"/>
                        </w:rPr>
                        <w:t xml:space="preserve">Only limited time and budget has been </w:t>
                      </w:r>
                      <w:r>
                        <w:rPr>
                          <w:color w:val="000000"/>
                        </w:rPr>
                        <w:t>available for</w:t>
                      </w:r>
                      <w:r w:rsidRPr="003A2236">
                        <w:rPr>
                          <w:color w:val="000000"/>
                        </w:rPr>
                        <w:t xml:space="preserve"> this first </w:t>
                      </w:r>
                      <w:r>
                        <w:rPr>
                          <w:color w:val="000000"/>
                        </w:rPr>
                        <w:t xml:space="preserve">general </w:t>
                      </w:r>
                      <w:r w:rsidRPr="003A2236">
                        <w:rPr>
                          <w:color w:val="000000"/>
                        </w:rPr>
                        <w:t>survey, which needs to be considered in terms of scope and completeness of the respective studies.</w:t>
                      </w:r>
                    </w:p>
                    <w:p w:rsidR="00CA1321" w:rsidRDefault="00CA1321" w:rsidP="00CA1321">
                      <w:pPr>
                        <w:rPr>
                          <w:rStyle w:val="Hervorhebung"/>
                        </w:rPr>
                      </w:pPr>
                      <w:r>
                        <w:rPr>
                          <w:rStyle w:val="Hervorhebung"/>
                        </w:rPr>
                        <w:t>The author/s</w:t>
                      </w:r>
                      <w:r w:rsidRPr="007C5CAC">
                        <w:rPr>
                          <w:rStyle w:val="Hervorhebung"/>
                        </w:rPr>
                        <w:t xml:space="preserve"> of this study is/are responsible for its content and quality.</w:t>
                      </w:r>
                    </w:p>
                    <w:p w:rsidR="00CA1321" w:rsidRPr="001F5640" w:rsidRDefault="00CA1321" w:rsidP="00CA1321">
                      <w:pPr>
                        <w:rPr>
                          <w:rStyle w:val="Hervorhebung"/>
                        </w:rPr>
                      </w:pPr>
                      <w:r>
                        <w:t>This report was revised at the end of 2015, reviewed internally by CSDM and amended according to reviewer's comments and recommendations upon the decision of the author/s.</w:t>
                      </w:r>
                    </w:p>
                  </w:txbxContent>
                </v:textbox>
                <w10:wrap anchorx="margin" anchory="margin"/>
              </v:shape>
            </w:pict>
          </mc:Fallback>
        </mc:AlternateContent>
      </w:r>
      <w:r w:rsidRPr="001F2F9B">
        <w:rPr>
          <w:i/>
        </w:rPr>
        <w:t>e Linde-Frech, Maike Vollmer)</w:t>
      </w:r>
    </w:p>
    <w:p w:rsidR="00CA1321" w:rsidRPr="001F2F9B" w:rsidRDefault="00CA1321" w:rsidP="00CA1321">
      <w:pPr>
        <w:rPr>
          <w:i/>
        </w:rPr>
      </w:pPr>
    </w:p>
    <w:p w:rsidR="00CA1321" w:rsidRPr="001F2F9B" w:rsidRDefault="00CA1321" w:rsidP="00CA1321">
      <w:pPr>
        <w:rPr>
          <w:i/>
        </w:rPr>
      </w:pPr>
    </w:p>
    <w:p w:rsidR="00CA1321" w:rsidRPr="001F2F9B" w:rsidRDefault="00CA1321" w:rsidP="00CA1321">
      <w:pPr>
        <w:rPr>
          <w:i/>
        </w:rPr>
      </w:pPr>
    </w:p>
    <w:p w:rsidR="00CA1321" w:rsidRPr="001F2F9B" w:rsidRDefault="00CA1321" w:rsidP="00CA1321">
      <w:pPr>
        <w:jc w:val="center"/>
        <w:rPr>
          <w:i/>
        </w:rPr>
      </w:pPr>
      <w:r w:rsidRPr="001F2F9B">
        <w:rPr>
          <w:i/>
          <w:noProof/>
          <w:lang w:val="es-ES" w:eastAsia="es-ES"/>
        </w:rPr>
        <w:drawing>
          <wp:inline distT="0" distB="0" distL="0" distR="0" wp14:anchorId="47E57DE3" wp14:editId="4A1B37A5">
            <wp:extent cx="4061637" cy="2490948"/>
            <wp:effectExtent l="0" t="0" r="0" b="5080"/>
            <wp:docPr id="5160" name="Grafik 5160" descr="http://www.intermin.fi/download/1cf4167e9374fc82aa7eeb17c94e358dc15be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intermin.fi/download/1cf4167e9374fc82aa7eeb17c94e358dc15be9a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74495" cy="2498833"/>
                    </a:xfrm>
                    <a:prstGeom prst="rect">
                      <a:avLst/>
                    </a:prstGeom>
                    <a:noFill/>
                    <a:ln>
                      <a:noFill/>
                    </a:ln>
                  </pic:spPr>
                </pic:pic>
              </a:graphicData>
            </a:graphic>
          </wp:inline>
        </w:drawing>
      </w:r>
    </w:p>
    <w:p w:rsidR="00CA1321" w:rsidRPr="001F2F9B" w:rsidRDefault="00CA1321" w:rsidP="00CA1321">
      <w:pPr>
        <w:jc w:val="center"/>
        <w:rPr>
          <w:i/>
        </w:rPr>
      </w:pPr>
    </w:p>
    <w:p w:rsidR="00CA1321" w:rsidRPr="001F2F9B" w:rsidRDefault="00CA1321" w:rsidP="00CA1321">
      <w:pPr>
        <w:pStyle w:val="Beschriftung"/>
      </w:pPr>
      <w:r w:rsidRPr="001F2F9B">
        <w:t xml:space="preserve">Source: Finnish Ministry of the Interior </w:t>
      </w:r>
      <w:hyperlink r:id="rId10" w:history="1">
        <w:r w:rsidRPr="001F2F9B">
          <w:rPr>
            <w:rStyle w:val="Hyperlink"/>
          </w:rPr>
          <w:t>http://www.intermin.fi/en/ministry/the_flag_and_arms_of_finland</w:t>
        </w:r>
      </w:hyperlink>
    </w:p>
    <w:p w:rsidR="00CA1321" w:rsidRPr="001F2F9B" w:rsidRDefault="00CA1321" w:rsidP="00CA1321">
      <w:pPr>
        <w:pStyle w:val="berschrift1"/>
        <w:numPr>
          <w:ilvl w:val="0"/>
          <w:numId w:val="0"/>
        </w:numPr>
        <w:ind w:left="432" w:hanging="432"/>
        <w:rPr>
          <w:lang w:val="en-GB"/>
        </w:rPr>
      </w:pPr>
      <w:bookmarkStart w:id="6" w:name="_Toc444087602"/>
      <w:bookmarkStart w:id="7" w:name="_Toc444176175"/>
      <w:bookmarkStart w:id="8" w:name="_Toc445378498"/>
      <w:r w:rsidRPr="001F2F9B">
        <w:rPr>
          <w:lang w:val="en-GB"/>
        </w:rPr>
        <w:lastRenderedPageBreak/>
        <w:t>Overview</w:t>
      </w:r>
      <w:bookmarkEnd w:id="6"/>
      <w:bookmarkEnd w:id="7"/>
      <w:bookmarkEnd w:id="8"/>
    </w:p>
    <w:p w:rsidR="00CA1321" w:rsidRPr="001F2F9B" w:rsidRDefault="00CA1321" w:rsidP="00CA1321">
      <w:pPr>
        <w:pStyle w:val="longerquotation"/>
        <w:rPr>
          <w:lang w:val="en-GB"/>
        </w:rPr>
      </w:pPr>
      <w:r w:rsidRPr="001F2F9B">
        <w:rPr>
          <w:lang w:val="en-GB"/>
        </w:rPr>
        <w:t>Finland has set the objective to become the safest country in Europe with the most effective rescue services. If the country’s exposure to disaster risks appears lower than other EU or OECD countries, its specific vulnerabilities to major shocks justify such ambitious public policy goals. The high dependence on critical infrastructures and global supply chains for the security of Finnish society and economy, its sparse population in remote areas, and its Nordic climate conditions are all factors shaping the risk portfolio Finland has to manage and prepare for. In this context, Finland has developed advanced policies and capacities in risk management, with well-established cutting-edge national strategies. These are based on whole-of-society approaches to secure the vital functions of society, and to develop self-awareness. These policies benefited also from a high level of trust among citizens, a cooperative attitude in society and a sense of solidarity, and high-quality public services from national to local levels. Furthermore, considerable use of research and information and communications technology (ICT), and the highly developed education system and social policies in Finland, contribute to an effective national risk management system which takes advantage of state-of-the-art innovations.</w:t>
      </w:r>
    </w:p>
    <w:p w:rsidR="00CA1321" w:rsidRPr="001F2F9B" w:rsidRDefault="00CA1321" w:rsidP="00CA1321">
      <w:pPr>
        <w:pStyle w:val="longerquotation"/>
        <w:rPr>
          <w:lang w:val="en-GB"/>
        </w:rPr>
      </w:pPr>
      <w:r w:rsidRPr="001F2F9B">
        <w:rPr>
          <w:lang w:val="en-GB"/>
        </w:rPr>
        <w:t>The Finnish disaster risk management system boasts:</w:t>
      </w:r>
    </w:p>
    <w:p w:rsidR="00CA1321" w:rsidRPr="001F2F9B" w:rsidRDefault="00CA1321" w:rsidP="004C232D">
      <w:pPr>
        <w:pStyle w:val="Listenabsatz"/>
        <w:numPr>
          <w:ilvl w:val="0"/>
          <w:numId w:val="6"/>
        </w:numPr>
        <w:spacing w:after="120"/>
        <w:contextualSpacing w:val="0"/>
      </w:pPr>
      <w:r w:rsidRPr="001F2F9B">
        <w:t xml:space="preserve">An ambitious </w:t>
      </w:r>
      <w:r w:rsidRPr="001F2F9B">
        <w:rPr>
          <w:b/>
        </w:rPr>
        <w:t>whole-of-government and whole-society approach</w:t>
      </w:r>
      <w:r w:rsidRPr="001F2F9B">
        <w:t xml:space="preserve"> to address all-hazards and threats.</w:t>
      </w:r>
    </w:p>
    <w:p w:rsidR="00CA1321" w:rsidRPr="001F2F9B" w:rsidRDefault="00CA1321" w:rsidP="004C232D">
      <w:pPr>
        <w:pStyle w:val="Listenabsatz"/>
        <w:numPr>
          <w:ilvl w:val="0"/>
          <w:numId w:val="6"/>
        </w:numPr>
        <w:spacing w:after="120"/>
        <w:contextualSpacing w:val="0"/>
      </w:pPr>
      <w:r w:rsidRPr="001F2F9B">
        <w:t>A strong sense of autonomy and self-preparedness among the population.</w:t>
      </w:r>
    </w:p>
    <w:p w:rsidR="00CA1321" w:rsidRPr="001F2F9B" w:rsidRDefault="00CA1321" w:rsidP="004C232D">
      <w:pPr>
        <w:pStyle w:val="Listenabsatz"/>
        <w:numPr>
          <w:ilvl w:val="0"/>
          <w:numId w:val="6"/>
        </w:numPr>
        <w:spacing w:after="120"/>
        <w:contextualSpacing w:val="0"/>
      </w:pPr>
      <w:r w:rsidRPr="001F2F9B">
        <w:t xml:space="preserve">Well-developed interactions with the private sector to </w:t>
      </w:r>
      <w:r w:rsidRPr="001F2F9B">
        <w:rPr>
          <w:b/>
        </w:rPr>
        <w:t>ensure business continuity</w:t>
      </w:r>
      <w:r w:rsidRPr="001F2F9B">
        <w:t>.</w:t>
      </w:r>
    </w:p>
    <w:p w:rsidR="00CA1321" w:rsidRPr="001F2F9B" w:rsidRDefault="00CA1321" w:rsidP="004C232D">
      <w:pPr>
        <w:pStyle w:val="Listenabsatz"/>
        <w:numPr>
          <w:ilvl w:val="0"/>
          <w:numId w:val="6"/>
        </w:numPr>
        <w:spacing w:after="120"/>
        <w:contextualSpacing w:val="0"/>
      </w:pPr>
      <w:r w:rsidRPr="001F2F9B">
        <w:t xml:space="preserve">A significant </w:t>
      </w:r>
      <w:r w:rsidRPr="001F2F9B">
        <w:rPr>
          <w:b/>
        </w:rPr>
        <w:t>use of research and technological innovation</w:t>
      </w:r>
      <w:r w:rsidRPr="001F2F9B">
        <w:t xml:space="preserve"> to support policies and capacities.</w:t>
      </w:r>
    </w:p>
    <w:p w:rsidR="00CA1321" w:rsidRPr="001F2F9B" w:rsidRDefault="00CA1321" w:rsidP="004C232D">
      <w:pPr>
        <w:pStyle w:val="Listenabsatz"/>
        <w:numPr>
          <w:ilvl w:val="0"/>
          <w:numId w:val="6"/>
        </w:numPr>
        <w:spacing w:after="120"/>
        <w:contextualSpacing w:val="0"/>
      </w:pPr>
      <w:r w:rsidRPr="001F2F9B">
        <w:t xml:space="preserve">An </w:t>
      </w:r>
      <w:r w:rsidRPr="001F2F9B">
        <w:rPr>
          <w:b/>
        </w:rPr>
        <w:t>open-data policy</w:t>
      </w:r>
      <w:r w:rsidRPr="001F2F9B">
        <w:t xml:space="preserve"> allowing appreciable availability of risk-related information.</w:t>
      </w:r>
    </w:p>
    <w:p w:rsidR="00CA1321" w:rsidRPr="001F2F9B" w:rsidRDefault="00CA1321" w:rsidP="004C232D">
      <w:pPr>
        <w:pStyle w:val="Listenabsatz"/>
        <w:numPr>
          <w:ilvl w:val="0"/>
          <w:numId w:val="6"/>
        </w:numPr>
        <w:spacing w:after="120"/>
        <w:contextualSpacing w:val="0"/>
      </w:pPr>
      <w:r w:rsidRPr="001F2F9B">
        <w:rPr>
          <w:b/>
        </w:rPr>
        <w:t>Government agility</w:t>
      </w:r>
      <w:r w:rsidRPr="001F2F9B">
        <w:t>, with a willingness to reform and learn from past experience.</w:t>
      </w:r>
    </w:p>
    <w:p w:rsidR="00CA1321" w:rsidRPr="001F2F9B" w:rsidRDefault="00CA1321" w:rsidP="004C232D">
      <w:pPr>
        <w:pStyle w:val="Listenabsatz"/>
        <w:numPr>
          <w:ilvl w:val="0"/>
          <w:numId w:val="6"/>
        </w:numPr>
        <w:spacing w:after="120"/>
        <w:contextualSpacing w:val="0"/>
      </w:pPr>
      <w:r w:rsidRPr="001F2F9B">
        <w:t>Strong regional cooperation mechanisms supporting risk management.</w:t>
      </w:r>
      <w:r w:rsidRPr="001F2F9B">
        <w:rPr>
          <w:rStyle w:val="Funotenzeichen"/>
        </w:rPr>
        <w:footnoteReference w:id="1"/>
      </w:r>
    </w:p>
    <w:p w:rsidR="00CA1321" w:rsidRPr="001F2F9B" w:rsidRDefault="00CA1321" w:rsidP="00CA1321">
      <w:r w:rsidRPr="001F2F9B">
        <w:rPr>
          <w:rStyle w:val="ZitatZchn"/>
        </w:rPr>
        <w:t>The Finnish civil security system could be characterised by a high degree of decentralisation and divided tasks based on substantial expertise of and competences across levels and issues.</w:t>
      </w:r>
      <w:r w:rsidRPr="001F2F9B">
        <w:rPr>
          <w:rStyle w:val="Funotenzeichen"/>
          <w:i/>
          <w:iCs/>
          <w:color w:val="5C2A59"/>
        </w:rPr>
        <w:footnoteReference w:id="2"/>
      </w:r>
      <w:r w:rsidRPr="001F2F9B">
        <w:t xml:space="preserve"> A main role in this heavily decentralised system takes the </w:t>
      </w:r>
      <w:r w:rsidRPr="001F2F9B">
        <w:rPr>
          <w:rStyle w:val="IntensiveHervorhebung"/>
        </w:rPr>
        <w:t>Ministry of the Interior</w:t>
      </w:r>
      <w:r w:rsidRPr="001F2F9B">
        <w:t xml:space="preserve"> with its </w:t>
      </w:r>
      <w:r w:rsidRPr="001F2F9B">
        <w:rPr>
          <w:rStyle w:val="IntensiveHervorhebung"/>
        </w:rPr>
        <w:t>Department for Rescue Services</w:t>
      </w:r>
      <w:r w:rsidRPr="001F2F9B">
        <w:t>, which, inter alia, directs and steers regional rescue services (22), maintains oversight of their coverage and quality and is in charge of the preparedness and organisation of rescue services at national level as well.</w:t>
      </w:r>
    </w:p>
    <w:p w:rsidR="00CA1321" w:rsidRPr="001F2F9B" w:rsidRDefault="00CA1321" w:rsidP="00CA1321">
      <w:r w:rsidRPr="001F2F9B">
        <w:t xml:space="preserve">Funding for risk management comes from different sources such as Government budget, municipalities’ budget and specific financial mechanisms. As in most other European and OECD countries, Finland has not made a comprehensive estimation of the resources spent on disaster risk reduction from the national to the local level. </w:t>
      </w:r>
      <w:r w:rsidRPr="001F2F9B">
        <w:rPr>
          <w:sz w:val="20"/>
          <w:szCs w:val="20"/>
        </w:rPr>
        <w:t>(Peer Review Report, 2014)</w:t>
      </w:r>
      <w:r w:rsidRPr="001F2F9B">
        <w:t>.</w:t>
      </w:r>
      <w:r w:rsidRPr="001F2F9B">
        <w:br w:type="page"/>
      </w:r>
    </w:p>
    <w:p w:rsidR="00CA1321" w:rsidRPr="001F2F9B" w:rsidRDefault="00CA1321" w:rsidP="00CA1321">
      <w:pPr>
        <w:pStyle w:val="berschrift1"/>
        <w:numPr>
          <w:ilvl w:val="0"/>
          <w:numId w:val="0"/>
        </w:numPr>
        <w:ind w:left="432" w:hanging="432"/>
        <w:rPr>
          <w:lang w:val="en-GB"/>
        </w:rPr>
      </w:pPr>
      <w:bookmarkStart w:id="9" w:name="_Toc444087603"/>
      <w:bookmarkStart w:id="10" w:name="_Toc444176176"/>
      <w:bookmarkStart w:id="11" w:name="_Toc445378499"/>
      <w:r w:rsidRPr="001F2F9B">
        <w:rPr>
          <w:lang w:val="en-GB"/>
        </w:rPr>
        <w:lastRenderedPageBreak/>
        <w:t>Table of Contents</w:t>
      </w:r>
      <w:bookmarkEnd w:id="9"/>
      <w:bookmarkEnd w:id="10"/>
      <w:bookmarkEnd w:id="11"/>
    </w:p>
    <w:p w:rsidR="00CA1321" w:rsidRPr="001F2F9B" w:rsidRDefault="00CA1321" w:rsidP="00CA1321">
      <w:pPr>
        <w:pStyle w:val="Verzeichnis1"/>
        <w:rPr>
          <w:rFonts w:eastAsiaTheme="minorEastAsia"/>
          <w:b/>
          <w:noProof/>
          <w:lang w:eastAsia="en-GB"/>
        </w:rPr>
      </w:pPr>
      <w:r w:rsidRPr="001F2F9B">
        <w:rPr>
          <w:bCs/>
        </w:rPr>
        <w:fldChar w:fldCharType="begin"/>
      </w:r>
      <w:r w:rsidRPr="001F2F9B">
        <w:rPr>
          <w:bCs/>
        </w:rPr>
        <w:instrText xml:space="preserve"> TOC \b Annexes_12_Finland \* MERGEFORMAT \h \u \z  \* MERGEFORMAT </w:instrText>
      </w:r>
      <w:r w:rsidRPr="001F2F9B">
        <w:rPr>
          <w:bCs/>
        </w:rPr>
        <w:fldChar w:fldCharType="separate"/>
      </w:r>
      <w:hyperlink w:anchor="_Toc444176174" w:history="1">
        <w:r w:rsidRPr="001F2F9B">
          <w:rPr>
            <w:rStyle w:val="Hyperlink"/>
            <w:rFonts w:cs="Times New Roman"/>
            <w:noProof/>
          </w:rPr>
          <w:t xml:space="preserve">FINLAND </w:t>
        </w:r>
        <w:r w:rsidRPr="001F2F9B">
          <w:rPr>
            <w:rStyle w:val="Hyperlink"/>
            <w:noProof/>
          </w:rPr>
          <w:t>Policy, Legislation, Organisation, Procedures &amp; Capabilities (PLOPC) in crisis management and disaster response</w:t>
        </w:r>
        <w:r w:rsidRPr="001F2F9B">
          <w:rPr>
            <w:noProof/>
            <w:webHidden/>
          </w:rPr>
          <w:tab/>
        </w:r>
        <w:r w:rsidRPr="001F2F9B">
          <w:rPr>
            <w:noProof/>
            <w:webHidden/>
          </w:rPr>
          <w:fldChar w:fldCharType="begin"/>
        </w:r>
        <w:r w:rsidRPr="001F2F9B">
          <w:rPr>
            <w:noProof/>
            <w:webHidden/>
          </w:rPr>
          <w:instrText xml:space="preserve"> PAGEREF _Toc444176174 \h </w:instrText>
        </w:r>
        <w:r w:rsidRPr="001F2F9B">
          <w:rPr>
            <w:noProof/>
            <w:webHidden/>
          </w:rPr>
        </w:r>
        <w:r w:rsidRPr="001F2F9B">
          <w:rPr>
            <w:noProof/>
            <w:webHidden/>
          </w:rPr>
          <w:fldChar w:fldCharType="separate"/>
        </w:r>
        <w:r>
          <w:rPr>
            <w:noProof/>
            <w:webHidden/>
          </w:rPr>
          <w:t>653</w:t>
        </w:r>
        <w:r w:rsidRPr="001F2F9B">
          <w:rPr>
            <w:noProof/>
            <w:webHidden/>
          </w:rPr>
          <w:fldChar w:fldCharType="end"/>
        </w:r>
      </w:hyperlink>
    </w:p>
    <w:p w:rsidR="00CA1321" w:rsidRPr="001F2F9B" w:rsidRDefault="00CA1321" w:rsidP="00CA1321">
      <w:pPr>
        <w:pStyle w:val="Verzeichnis1"/>
        <w:rPr>
          <w:rFonts w:eastAsiaTheme="minorEastAsia"/>
          <w:b/>
          <w:noProof/>
          <w:lang w:eastAsia="en-GB"/>
        </w:rPr>
      </w:pPr>
      <w:hyperlink w:anchor="_Toc444176175" w:history="1">
        <w:r w:rsidRPr="001F2F9B">
          <w:rPr>
            <w:rStyle w:val="Hyperlink"/>
            <w:noProof/>
          </w:rPr>
          <w:t>Overview</w:t>
        </w:r>
        <w:r w:rsidRPr="001F2F9B">
          <w:rPr>
            <w:noProof/>
            <w:webHidden/>
          </w:rPr>
          <w:tab/>
        </w:r>
        <w:r w:rsidRPr="001F2F9B">
          <w:rPr>
            <w:noProof/>
            <w:webHidden/>
          </w:rPr>
          <w:fldChar w:fldCharType="begin"/>
        </w:r>
        <w:r w:rsidRPr="001F2F9B">
          <w:rPr>
            <w:noProof/>
            <w:webHidden/>
          </w:rPr>
          <w:instrText xml:space="preserve"> PAGEREF _Toc444176175 \h </w:instrText>
        </w:r>
        <w:r w:rsidRPr="001F2F9B">
          <w:rPr>
            <w:noProof/>
            <w:webHidden/>
          </w:rPr>
        </w:r>
        <w:r w:rsidRPr="001F2F9B">
          <w:rPr>
            <w:noProof/>
            <w:webHidden/>
          </w:rPr>
          <w:fldChar w:fldCharType="separate"/>
        </w:r>
        <w:r>
          <w:rPr>
            <w:noProof/>
            <w:webHidden/>
          </w:rPr>
          <w:t>654</w:t>
        </w:r>
        <w:r w:rsidRPr="001F2F9B">
          <w:rPr>
            <w:noProof/>
            <w:webHidden/>
          </w:rPr>
          <w:fldChar w:fldCharType="end"/>
        </w:r>
      </w:hyperlink>
    </w:p>
    <w:p w:rsidR="00CA1321" w:rsidRPr="001F2F9B" w:rsidRDefault="00CA1321" w:rsidP="00CA1321">
      <w:pPr>
        <w:pStyle w:val="Verzeichnis1"/>
        <w:rPr>
          <w:rFonts w:eastAsiaTheme="minorEastAsia"/>
          <w:b/>
          <w:noProof/>
          <w:lang w:eastAsia="en-GB"/>
        </w:rPr>
      </w:pPr>
      <w:hyperlink w:anchor="_Toc444176176" w:history="1">
        <w:r w:rsidRPr="001F2F9B">
          <w:rPr>
            <w:rStyle w:val="Hyperlink"/>
            <w:noProof/>
          </w:rPr>
          <w:t>Table of Contents</w:t>
        </w:r>
        <w:r w:rsidRPr="001F2F9B">
          <w:rPr>
            <w:noProof/>
            <w:webHidden/>
          </w:rPr>
          <w:tab/>
        </w:r>
        <w:r w:rsidRPr="001F2F9B">
          <w:rPr>
            <w:noProof/>
            <w:webHidden/>
          </w:rPr>
          <w:fldChar w:fldCharType="begin"/>
        </w:r>
        <w:r w:rsidRPr="001F2F9B">
          <w:rPr>
            <w:noProof/>
            <w:webHidden/>
          </w:rPr>
          <w:instrText xml:space="preserve"> PAGEREF _Toc444176176 \h </w:instrText>
        </w:r>
        <w:r w:rsidRPr="001F2F9B">
          <w:rPr>
            <w:noProof/>
            <w:webHidden/>
          </w:rPr>
        </w:r>
        <w:r w:rsidRPr="001F2F9B">
          <w:rPr>
            <w:noProof/>
            <w:webHidden/>
          </w:rPr>
          <w:fldChar w:fldCharType="separate"/>
        </w:r>
        <w:r>
          <w:rPr>
            <w:noProof/>
            <w:webHidden/>
          </w:rPr>
          <w:t>655</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177" w:history="1">
        <w:r w:rsidRPr="001F2F9B">
          <w:rPr>
            <w:rStyle w:val="Hyperlink"/>
            <w:noProof/>
          </w:rPr>
          <w:t>List of Figures</w:t>
        </w:r>
        <w:r w:rsidRPr="001F2F9B">
          <w:rPr>
            <w:noProof/>
            <w:webHidden/>
          </w:rPr>
          <w:tab/>
        </w:r>
        <w:r w:rsidRPr="001F2F9B">
          <w:rPr>
            <w:noProof/>
            <w:webHidden/>
          </w:rPr>
          <w:fldChar w:fldCharType="begin"/>
        </w:r>
        <w:r w:rsidRPr="001F2F9B">
          <w:rPr>
            <w:noProof/>
            <w:webHidden/>
          </w:rPr>
          <w:instrText xml:space="preserve"> PAGEREF _Toc444176177 \h </w:instrText>
        </w:r>
        <w:r w:rsidRPr="001F2F9B">
          <w:rPr>
            <w:noProof/>
            <w:webHidden/>
          </w:rPr>
        </w:r>
        <w:r w:rsidRPr="001F2F9B">
          <w:rPr>
            <w:noProof/>
            <w:webHidden/>
          </w:rPr>
          <w:fldChar w:fldCharType="separate"/>
        </w:r>
        <w:r>
          <w:rPr>
            <w:noProof/>
            <w:webHidden/>
          </w:rPr>
          <w:t>657</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178" w:history="1">
        <w:r w:rsidRPr="001F2F9B">
          <w:rPr>
            <w:rStyle w:val="Hyperlink"/>
            <w:noProof/>
          </w:rPr>
          <w:t>List of Tables</w:t>
        </w:r>
        <w:r w:rsidRPr="001F2F9B">
          <w:rPr>
            <w:noProof/>
            <w:webHidden/>
          </w:rPr>
          <w:tab/>
        </w:r>
        <w:r w:rsidRPr="001F2F9B">
          <w:rPr>
            <w:noProof/>
            <w:webHidden/>
          </w:rPr>
          <w:fldChar w:fldCharType="begin"/>
        </w:r>
        <w:r w:rsidRPr="001F2F9B">
          <w:rPr>
            <w:noProof/>
            <w:webHidden/>
          </w:rPr>
          <w:instrText xml:space="preserve"> PAGEREF _Toc444176178 \h </w:instrText>
        </w:r>
        <w:r w:rsidRPr="001F2F9B">
          <w:rPr>
            <w:noProof/>
            <w:webHidden/>
          </w:rPr>
        </w:r>
        <w:r w:rsidRPr="001F2F9B">
          <w:rPr>
            <w:noProof/>
            <w:webHidden/>
          </w:rPr>
          <w:fldChar w:fldCharType="separate"/>
        </w:r>
        <w:r>
          <w:rPr>
            <w:noProof/>
            <w:webHidden/>
          </w:rPr>
          <w:t>657</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179" w:history="1">
        <w:r w:rsidRPr="001F2F9B">
          <w:rPr>
            <w:rStyle w:val="Hyperlink"/>
            <w:noProof/>
          </w:rPr>
          <w:t>List of Abbreviations</w:t>
        </w:r>
        <w:r w:rsidRPr="001F2F9B">
          <w:rPr>
            <w:noProof/>
            <w:webHidden/>
          </w:rPr>
          <w:tab/>
        </w:r>
        <w:r w:rsidRPr="001F2F9B">
          <w:rPr>
            <w:noProof/>
            <w:webHidden/>
          </w:rPr>
          <w:fldChar w:fldCharType="begin"/>
        </w:r>
        <w:r w:rsidRPr="001F2F9B">
          <w:rPr>
            <w:noProof/>
            <w:webHidden/>
          </w:rPr>
          <w:instrText xml:space="preserve"> PAGEREF _Toc444176179 \h </w:instrText>
        </w:r>
        <w:r w:rsidRPr="001F2F9B">
          <w:rPr>
            <w:noProof/>
            <w:webHidden/>
          </w:rPr>
        </w:r>
        <w:r w:rsidRPr="001F2F9B">
          <w:rPr>
            <w:noProof/>
            <w:webHidden/>
          </w:rPr>
          <w:fldChar w:fldCharType="separate"/>
        </w:r>
        <w:r>
          <w:rPr>
            <w:noProof/>
            <w:webHidden/>
          </w:rPr>
          <w:t>658</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180" w:history="1">
        <w:r w:rsidRPr="001F2F9B">
          <w:rPr>
            <w:rStyle w:val="Hyperlink"/>
            <w:noProof/>
          </w:rPr>
          <w:t>List of Definitions</w:t>
        </w:r>
        <w:r w:rsidRPr="001F2F9B">
          <w:rPr>
            <w:noProof/>
            <w:webHidden/>
          </w:rPr>
          <w:tab/>
        </w:r>
        <w:r w:rsidRPr="001F2F9B">
          <w:rPr>
            <w:noProof/>
            <w:webHidden/>
          </w:rPr>
          <w:fldChar w:fldCharType="begin"/>
        </w:r>
        <w:r w:rsidRPr="001F2F9B">
          <w:rPr>
            <w:noProof/>
            <w:webHidden/>
          </w:rPr>
          <w:instrText xml:space="preserve"> PAGEREF _Toc444176180 \h </w:instrText>
        </w:r>
        <w:r w:rsidRPr="001F2F9B">
          <w:rPr>
            <w:noProof/>
            <w:webHidden/>
          </w:rPr>
        </w:r>
        <w:r w:rsidRPr="001F2F9B">
          <w:rPr>
            <w:noProof/>
            <w:webHidden/>
          </w:rPr>
          <w:fldChar w:fldCharType="separate"/>
        </w:r>
        <w:r>
          <w:rPr>
            <w:noProof/>
            <w:webHidden/>
          </w:rPr>
          <w:t>659</w:t>
        </w:r>
        <w:r w:rsidRPr="001F2F9B">
          <w:rPr>
            <w:noProof/>
            <w:webHidden/>
          </w:rPr>
          <w:fldChar w:fldCharType="end"/>
        </w:r>
      </w:hyperlink>
    </w:p>
    <w:p w:rsidR="00CA1321" w:rsidRPr="001F2F9B" w:rsidRDefault="00CA1321" w:rsidP="00CA1321">
      <w:pPr>
        <w:pStyle w:val="Verzeichnis1"/>
        <w:rPr>
          <w:rFonts w:eastAsiaTheme="minorEastAsia"/>
          <w:b/>
          <w:noProof/>
          <w:lang w:eastAsia="en-GB"/>
        </w:rPr>
      </w:pPr>
      <w:hyperlink w:anchor="_Toc444176181" w:history="1">
        <w:r w:rsidRPr="001F2F9B">
          <w:rPr>
            <w:rStyle w:val="Hyperlink"/>
            <w:noProof/>
          </w:rPr>
          <w:t>1</w:t>
        </w:r>
        <w:r w:rsidRPr="001F2F9B">
          <w:rPr>
            <w:rFonts w:eastAsiaTheme="minorEastAsia"/>
            <w:noProof/>
            <w:lang w:eastAsia="en-GB"/>
          </w:rPr>
          <w:tab/>
        </w:r>
        <w:r w:rsidRPr="001F2F9B">
          <w:rPr>
            <w:rStyle w:val="Hyperlink"/>
            <w:noProof/>
          </w:rPr>
          <w:t>Policy</w:t>
        </w:r>
        <w:r w:rsidRPr="001F2F9B">
          <w:rPr>
            <w:noProof/>
            <w:webHidden/>
          </w:rPr>
          <w:tab/>
        </w:r>
        <w:r w:rsidRPr="001F2F9B">
          <w:rPr>
            <w:noProof/>
            <w:webHidden/>
          </w:rPr>
          <w:fldChar w:fldCharType="begin"/>
        </w:r>
        <w:r w:rsidRPr="001F2F9B">
          <w:rPr>
            <w:noProof/>
            <w:webHidden/>
          </w:rPr>
          <w:instrText xml:space="preserve"> PAGEREF _Toc444176181 \h </w:instrText>
        </w:r>
        <w:r w:rsidRPr="001F2F9B">
          <w:rPr>
            <w:noProof/>
            <w:webHidden/>
          </w:rPr>
        </w:r>
        <w:r w:rsidRPr="001F2F9B">
          <w:rPr>
            <w:noProof/>
            <w:webHidden/>
          </w:rPr>
          <w:fldChar w:fldCharType="separate"/>
        </w:r>
        <w:r>
          <w:rPr>
            <w:noProof/>
            <w:webHidden/>
          </w:rPr>
          <w:t>660</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182" w:history="1">
        <w:r w:rsidRPr="001F2F9B">
          <w:rPr>
            <w:rStyle w:val="Hyperlink"/>
            <w:noProof/>
          </w:rPr>
          <w:t>1.1</w:t>
        </w:r>
        <w:r w:rsidRPr="001F2F9B">
          <w:rPr>
            <w:rFonts w:eastAsiaTheme="minorEastAsia"/>
            <w:noProof/>
            <w:lang w:eastAsia="en-GB"/>
          </w:rPr>
          <w:tab/>
        </w:r>
        <w:r w:rsidRPr="001F2F9B">
          <w:rPr>
            <w:rStyle w:val="Hyperlink"/>
            <w:noProof/>
          </w:rPr>
          <w:t>Risk Assessment</w:t>
        </w:r>
        <w:r w:rsidRPr="001F2F9B">
          <w:rPr>
            <w:noProof/>
            <w:webHidden/>
          </w:rPr>
          <w:tab/>
        </w:r>
        <w:r w:rsidRPr="001F2F9B">
          <w:rPr>
            <w:noProof/>
            <w:webHidden/>
          </w:rPr>
          <w:fldChar w:fldCharType="begin"/>
        </w:r>
        <w:r w:rsidRPr="001F2F9B">
          <w:rPr>
            <w:noProof/>
            <w:webHidden/>
          </w:rPr>
          <w:instrText xml:space="preserve"> PAGEREF _Toc444176182 \h </w:instrText>
        </w:r>
        <w:r w:rsidRPr="001F2F9B">
          <w:rPr>
            <w:noProof/>
            <w:webHidden/>
          </w:rPr>
        </w:r>
        <w:r w:rsidRPr="001F2F9B">
          <w:rPr>
            <w:noProof/>
            <w:webHidden/>
          </w:rPr>
          <w:fldChar w:fldCharType="separate"/>
        </w:r>
        <w:r>
          <w:rPr>
            <w:noProof/>
            <w:webHidden/>
          </w:rPr>
          <w:t>660</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83" w:history="1">
        <w:r w:rsidRPr="001F2F9B">
          <w:rPr>
            <w:rStyle w:val="Hyperlink"/>
            <w:noProof/>
          </w:rPr>
          <w:t>1.1.1</w:t>
        </w:r>
        <w:r w:rsidRPr="001F2F9B">
          <w:rPr>
            <w:rFonts w:eastAsiaTheme="minorEastAsia"/>
            <w:noProof/>
            <w:lang w:eastAsia="en-GB"/>
          </w:rPr>
          <w:tab/>
        </w:r>
        <w:r w:rsidRPr="001F2F9B">
          <w:rPr>
            <w:rStyle w:val="Hyperlink"/>
            <w:noProof/>
          </w:rPr>
          <w:t>Key risks and areas of concern</w:t>
        </w:r>
        <w:r w:rsidRPr="001F2F9B">
          <w:rPr>
            <w:noProof/>
            <w:webHidden/>
          </w:rPr>
          <w:tab/>
        </w:r>
        <w:r w:rsidRPr="001F2F9B">
          <w:rPr>
            <w:noProof/>
            <w:webHidden/>
          </w:rPr>
          <w:fldChar w:fldCharType="begin"/>
        </w:r>
        <w:r w:rsidRPr="001F2F9B">
          <w:rPr>
            <w:noProof/>
            <w:webHidden/>
          </w:rPr>
          <w:instrText xml:space="preserve"> PAGEREF _Toc444176183 \h </w:instrText>
        </w:r>
        <w:r w:rsidRPr="001F2F9B">
          <w:rPr>
            <w:noProof/>
            <w:webHidden/>
          </w:rPr>
        </w:r>
        <w:r w:rsidRPr="001F2F9B">
          <w:rPr>
            <w:noProof/>
            <w:webHidden/>
          </w:rPr>
          <w:fldChar w:fldCharType="separate"/>
        </w:r>
        <w:r>
          <w:rPr>
            <w:noProof/>
            <w:webHidden/>
          </w:rPr>
          <w:t>660</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84" w:history="1">
        <w:r w:rsidRPr="001F2F9B">
          <w:rPr>
            <w:rStyle w:val="Hyperlink"/>
            <w:noProof/>
          </w:rPr>
          <w:t>1.1.2</w:t>
        </w:r>
        <w:r w:rsidRPr="001F2F9B">
          <w:rPr>
            <w:rFonts w:eastAsiaTheme="minorEastAsia"/>
            <w:noProof/>
            <w:lang w:eastAsia="en-GB"/>
          </w:rPr>
          <w:tab/>
        </w:r>
        <w:r w:rsidRPr="001F2F9B">
          <w:rPr>
            <w:rStyle w:val="Hyperlink"/>
            <w:noProof/>
          </w:rPr>
          <w:t>Risk assessment approaches</w:t>
        </w:r>
        <w:r w:rsidRPr="001F2F9B">
          <w:rPr>
            <w:noProof/>
            <w:webHidden/>
          </w:rPr>
          <w:tab/>
        </w:r>
        <w:r w:rsidRPr="001F2F9B">
          <w:rPr>
            <w:noProof/>
            <w:webHidden/>
          </w:rPr>
          <w:fldChar w:fldCharType="begin"/>
        </w:r>
        <w:r w:rsidRPr="001F2F9B">
          <w:rPr>
            <w:noProof/>
            <w:webHidden/>
          </w:rPr>
          <w:instrText xml:space="preserve"> PAGEREF _Toc444176184 \h </w:instrText>
        </w:r>
        <w:r w:rsidRPr="001F2F9B">
          <w:rPr>
            <w:noProof/>
            <w:webHidden/>
          </w:rPr>
        </w:r>
        <w:r w:rsidRPr="001F2F9B">
          <w:rPr>
            <w:noProof/>
            <w:webHidden/>
          </w:rPr>
          <w:fldChar w:fldCharType="separate"/>
        </w:r>
        <w:r>
          <w:rPr>
            <w:noProof/>
            <w:webHidden/>
          </w:rPr>
          <w:t>661</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85" w:history="1">
        <w:r w:rsidRPr="001F2F9B">
          <w:rPr>
            <w:rStyle w:val="Hyperlink"/>
            <w:noProof/>
          </w:rPr>
          <w:t>1.1.3</w:t>
        </w:r>
        <w:r w:rsidRPr="001F2F9B">
          <w:rPr>
            <w:rFonts w:eastAsiaTheme="minorEastAsia"/>
            <w:noProof/>
            <w:lang w:eastAsia="en-GB"/>
          </w:rPr>
          <w:tab/>
        </w:r>
        <w:r w:rsidRPr="001F2F9B">
          <w:rPr>
            <w:rStyle w:val="Hyperlink"/>
            <w:noProof/>
          </w:rPr>
          <w:t>International Cooperation with regard to risk assessment</w:t>
        </w:r>
        <w:r w:rsidRPr="001F2F9B">
          <w:rPr>
            <w:noProof/>
            <w:webHidden/>
          </w:rPr>
          <w:tab/>
        </w:r>
        <w:r w:rsidRPr="001F2F9B">
          <w:rPr>
            <w:noProof/>
            <w:webHidden/>
          </w:rPr>
          <w:fldChar w:fldCharType="begin"/>
        </w:r>
        <w:r w:rsidRPr="001F2F9B">
          <w:rPr>
            <w:noProof/>
            <w:webHidden/>
          </w:rPr>
          <w:instrText xml:space="preserve"> PAGEREF _Toc444176185 \h </w:instrText>
        </w:r>
        <w:r w:rsidRPr="001F2F9B">
          <w:rPr>
            <w:noProof/>
            <w:webHidden/>
          </w:rPr>
        </w:r>
        <w:r w:rsidRPr="001F2F9B">
          <w:rPr>
            <w:noProof/>
            <w:webHidden/>
          </w:rPr>
          <w:fldChar w:fldCharType="separate"/>
        </w:r>
        <w:r>
          <w:rPr>
            <w:noProof/>
            <w:webHidden/>
          </w:rPr>
          <w:t>663</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186" w:history="1">
        <w:r w:rsidRPr="001F2F9B">
          <w:rPr>
            <w:rStyle w:val="Hyperlink"/>
            <w:noProof/>
          </w:rPr>
          <w:t>1.2</w:t>
        </w:r>
        <w:r w:rsidRPr="001F2F9B">
          <w:rPr>
            <w:rFonts w:eastAsiaTheme="minorEastAsia"/>
            <w:noProof/>
            <w:lang w:eastAsia="en-GB"/>
          </w:rPr>
          <w:tab/>
        </w:r>
        <w:r w:rsidRPr="001F2F9B">
          <w:rPr>
            <w:rStyle w:val="Hyperlink"/>
            <w:noProof/>
          </w:rPr>
          <w:t>Policy and Governance</w:t>
        </w:r>
        <w:r w:rsidRPr="001F2F9B">
          <w:rPr>
            <w:noProof/>
            <w:webHidden/>
          </w:rPr>
          <w:tab/>
        </w:r>
        <w:r w:rsidRPr="001F2F9B">
          <w:rPr>
            <w:noProof/>
            <w:webHidden/>
          </w:rPr>
          <w:fldChar w:fldCharType="begin"/>
        </w:r>
        <w:r w:rsidRPr="001F2F9B">
          <w:rPr>
            <w:noProof/>
            <w:webHidden/>
          </w:rPr>
          <w:instrText xml:space="preserve"> PAGEREF _Toc444176186 \h </w:instrText>
        </w:r>
        <w:r w:rsidRPr="001F2F9B">
          <w:rPr>
            <w:noProof/>
            <w:webHidden/>
          </w:rPr>
        </w:r>
        <w:r w:rsidRPr="001F2F9B">
          <w:rPr>
            <w:noProof/>
            <w:webHidden/>
          </w:rPr>
          <w:fldChar w:fldCharType="separate"/>
        </w:r>
        <w:r>
          <w:rPr>
            <w:noProof/>
            <w:webHidden/>
          </w:rPr>
          <w:t>665</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87" w:history="1">
        <w:r w:rsidRPr="001F2F9B">
          <w:rPr>
            <w:rStyle w:val="Hyperlink"/>
            <w:noProof/>
          </w:rPr>
          <w:t>1.2.1</w:t>
        </w:r>
        <w:r w:rsidRPr="001F2F9B">
          <w:rPr>
            <w:rFonts w:eastAsiaTheme="minorEastAsia"/>
            <w:noProof/>
            <w:lang w:eastAsia="en-GB"/>
          </w:rPr>
          <w:tab/>
        </w:r>
        <w:r w:rsidRPr="001F2F9B">
          <w:rPr>
            <w:rStyle w:val="Hyperlink"/>
            <w:noProof/>
          </w:rPr>
          <w:t>Strategy scope and focus</w:t>
        </w:r>
        <w:r w:rsidRPr="001F2F9B">
          <w:rPr>
            <w:noProof/>
            <w:webHidden/>
          </w:rPr>
          <w:tab/>
        </w:r>
        <w:r w:rsidRPr="001F2F9B">
          <w:rPr>
            <w:noProof/>
            <w:webHidden/>
          </w:rPr>
          <w:fldChar w:fldCharType="begin"/>
        </w:r>
        <w:r w:rsidRPr="001F2F9B">
          <w:rPr>
            <w:noProof/>
            <w:webHidden/>
          </w:rPr>
          <w:instrText xml:space="preserve"> PAGEREF _Toc444176187 \h </w:instrText>
        </w:r>
        <w:r w:rsidRPr="001F2F9B">
          <w:rPr>
            <w:noProof/>
            <w:webHidden/>
          </w:rPr>
        </w:r>
        <w:r w:rsidRPr="001F2F9B">
          <w:rPr>
            <w:noProof/>
            <w:webHidden/>
          </w:rPr>
          <w:fldChar w:fldCharType="separate"/>
        </w:r>
        <w:r>
          <w:rPr>
            <w:noProof/>
            <w:webHidden/>
          </w:rPr>
          <w:t>669</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88" w:history="1">
        <w:r w:rsidRPr="001F2F9B">
          <w:rPr>
            <w:rStyle w:val="Hyperlink"/>
            <w:rFonts w:cs="Times New Roman"/>
            <w:noProof/>
          </w:rPr>
          <w:t>1.2.2</w:t>
        </w:r>
        <w:r w:rsidRPr="001F2F9B">
          <w:rPr>
            <w:rFonts w:eastAsiaTheme="minorEastAsia"/>
            <w:noProof/>
            <w:lang w:eastAsia="en-GB"/>
          </w:rPr>
          <w:tab/>
        </w:r>
        <w:r w:rsidRPr="001F2F9B">
          <w:rPr>
            <w:rStyle w:val="Hyperlink"/>
            <w:noProof/>
          </w:rPr>
          <w:t>Monitoring and analytical support to policy making; R&amp;D</w:t>
        </w:r>
        <w:r w:rsidRPr="001F2F9B">
          <w:rPr>
            <w:noProof/>
            <w:webHidden/>
          </w:rPr>
          <w:tab/>
        </w:r>
        <w:r w:rsidRPr="001F2F9B">
          <w:rPr>
            <w:noProof/>
            <w:webHidden/>
          </w:rPr>
          <w:fldChar w:fldCharType="begin"/>
        </w:r>
        <w:r w:rsidRPr="001F2F9B">
          <w:rPr>
            <w:noProof/>
            <w:webHidden/>
          </w:rPr>
          <w:instrText xml:space="preserve"> PAGEREF _Toc444176188 \h </w:instrText>
        </w:r>
        <w:r w:rsidRPr="001F2F9B">
          <w:rPr>
            <w:noProof/>
            <w:webHidden/>
          </w:rPr>
        </w:r>
        <w:r w:rsidRPr="001F2F9B">
          <w:rPr>
            <w:noProof/>
            <w:webHidden/>
          </w:rPr>
          <w:fldChar w:fldCharType="separate"/>
        </w:r>
        <w:r>
          <w:rPr>
            <w:noProof/>
            <w:webHidden/>
          </w:rPr>
          <w:t>670</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89" w:history="1">
        <w:r w:rsidRPr="001F2F9B">
          <w:rPr>
            <w:rStyle w:val="Hyperlink"/>
            <w:noProof/>
          </w:rPr>
          <w:t>1.2.3</w:t>
        </w:r>
        <w:r w:rsidRPr="001F2F9B">
          <w:rPr>
            <w:rFonts w:eastAsiaTheme="minorEastAsia"/>
            <w:noProof/>
            <w:lang w:eastAsia="en-GB"/>
          </w:rPr>
          <w:tab/>
        </w:r>
        <w:r w:rsidRPr="001F2F9B">
          <w:rPr>
            <w:rStyle w:val="Hyperlink"/>
            <w:noProof/>
          </w:rPr>
          <w:t>Policy for Prevention</w:t>
        </w:r>
        <w:r w:rsidRPr="001F2F9B">
          <w:rPr>
            <w:noProof/>
            <w:webHidden/>
          </w:rPr>
          <w:tab/>
        </w:r>
        <w:r w:rsidRPr="001F2F9B">
          <w:rPr>
            <w:noProof/>
            <w:webHidden/>
          </w:rPr>
          <w:fldChar w:fldCharType="begin"/>
        </w:r>
        <w:r w:rsidRPr="001F2F9B">
          <w:rPr>
            <w:noProof/>
            <w:webHidden/>
          </w:rPr>
          <w:instrText xml:space="preserve"> PAGEREF _Toc444176189 \h </w:instrText>
        </w:r>
        <w:r w:rsidRPr="001F2F9B">
          <w:rPr>
            <w:noProof/>
            <w:webHidden/>
          </w:rPr>
        </w:r>
        <w:r w:rsidRPr="001F2F9B">
          <w:rPr>
            <w:noProof/>
            <w:webHidden/>
          </w:rPr>
          <w:fldChar w:fldCharType="separate"/>
        </w:r>
        <w:r>
          <w:rPr>
            <w:noProof/>
            <w:webHidden/>
          </w:rPr>
          <w:t>670</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90" w:history="1">
        <w:r w:rsidRPr="001F2F9B">
          <w:rPr>
            <w:rStyle w:val="Hyperlink"/>
            <w:noProof/>
          </w:rPr>
          <w:t>1.2.4</w:t>
        </w:r>
        <w:r w:rsidRPr="001F2F9B">
          <w:rPr>
            <w:rFonts w:eastAsiaTheme="minorEastAsia"/>
            <w:noProof/>
            <w:lang w:eastAsia="en-GB"/>
          </w:rPr>
          <w:tab/>
        </w:r>
        <w:r w:rsidRPr="001F2F9B">
          <w:rPr>
            <w:rStyle w:val="Hyperlink"/>
            <w:noProof/>
          </w:rPr>
          <w:t>Policy for Preparedness</w:t>
        </w:r>
        <w:r w:rsidRPr="001F2F9B">
          <w:rPr>
            <w:noProof/>
            <w:webHidden/>
          </w:rPr>
          <w:tab/>
        </w:r>
        <w:r w:rsidRPr="001F2F9B">
          <w:rPr>
            <w:noProof/>
            <w:webHidden/>
          </w:rPr>
          <w:fldChar w:fldCharType="begin"/>
        </w:r>
        <w:r w:rsidRPr="001F2F9B">
          <w:rPr>
            <w:noProof/>
            <w:webHidden/>
          </w:rPr>
          <w:instrText xml:space="preserve"> PAGEREF _Toc444176190 \h </w:instrText>
        </w:r>
        <w:r w:rsidRPr="001F2F9B">
          <w:rPr>
            <w:noProof/>
            <w:webHidden/>
          </w:rPr>
        </w:r>
        <w:r w:rsidRPr="001F2F9B">
          <w:rPr>
            <w:noProof/>
            <w:webHidden/>
          </w:rPr>
          <w:fldChar w:fldCharType="separate"/>
        </w:r>
        <w:r>
          <w:rPr>
            <w:noProof/>
            <w:webHidden/>
          </w:rPr>
          <w:t>670</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91" w:history="1">
        <w:r w:rsidRPr="001F2F9B">
          <w:rPr>
            <w:rStyle w:val="Hyperlink"/>
            <w:noProof/>
          </w:rPr>
          <w:t>1.2.5</w:t>
        </w:r>
        <w:r w:rsidRPr="001F2F9B">
          <w:rPr>
            <w:rFonts w:eastAsiaTheme="minorEastAsia"/>
            <w:noProof/>
            <w:lang w:eastAsia="en-GB"/>
          </w:rPr>
          <w:tab/>
        </w:r>
        <w:r w:rsidRPr="001F2F9B">
          <w:rPr>
            <w:rStyle w:val="Hyperlink"/>
            <w:noProof/>
          </w:rPr>
          <w:t>Policy for Response</w:t>
        </w:r>
        <w:r w:rsidRPr="001F2F9B">
          <w:rPr>
            <w:noProof/>
            <w:webHidden/>
          </w:rPr>
          <w:tab/>
        </w:r>
        <w:r w:rsidRPr="001F2F9B">
          <w:rPr>
            <w:noProof/>
            <w:webHidden/>
          </w:rPr>
          <w:fldChar w:fldCharType="begin"/>
        </w:r>
        <w:r w:rsidRPr="001F2F9B">
          <w:rPr>
            <w:noProof/>
            <w:webHidden/>
          </w:rPr>
          <w:instrText xml:space="preserve"> PAGEREF _Toc444176191 \h </w:instrText>
        </w:r>
        <w:r w:rsidRPr="001F2F9B">
          <w:rPr>
            <w:noProof/>
            <w:webHidden/>
          </w:rPr>
        </w:r>
        <w:r w:rsidRPr="001F2F9B">
          <w:rPr>
            <w:noProof/>
            <w:webHidden/>
          </w:rPr>
          <w:fldChar w:fldCharType="separate"/>
        </w:r>
        <w:r>
          <w:rPr>
            <w:noProof/>
            <w:webHidden/>
          </w:rPr>
          <w:t>671</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92" w:history="1">
        <w:r w:rsidRPr="001F2F9B">
          <w:rPr>
            <w:rStyle w:val="Hyperlink"/>
            <w:noProof/>
          </w:rPr>
          <w:t>1.2.6</w:t>
        </w:r>
        <w:r w:rsidRPr="001F2F9B">
          <w:rPr>
            <w:rFonts w:eastAsiaTheme="minorEastAsia"/>
            <w:noProof/>
            <w:lang w:eastAsia="en-GB"/>
          </w:rPr>
          <w:tab/>
        </w:r>
        <w:r w:rsidRPr="001F2F9B">
          <w:rPr>
            <w:rStyle w:val="Hyperlink"/>
            <w:noProof/>
          </w:rPr>
          <w:t>Policy for Relief and Recovery</w:t>
        </w:r>
        <w:r w:rsidRPr="001F2F9B">
          <w:rPr>
            <w:noProof/>
            <w:webHidden/>
          </w:rPr>
          <w:tab/>
        </w:r>
        <w:r w:rsidRPr="001F2F9B">
          <w:rPr>
            <w:noProof/>
            <w:webHidden/>
          </w:rPr>
          <w:fldChar w:fldCharType="begin"/>
        </w:r>
        <w:r w:rsidRPr="001F2F9B">
          <w:rPr>
            <w:noProof/>
            <w:webHidden/>
          </w:rPr>
          <w:instrText xml:space="preserve"> PAGEREF _Toc444176192 \h </w:instrText>
        </w:r>
        <w:r w:rsidRPr="001F2F9B">
          <w:rPr>
            <w:noProof/>
            <w:webHidden/>
          </w:rPr>
        </w:r>
        <w:r w:rsidRPr="001F2F9B">
          <w:rPr>
            <w:noProof/>
            <w:webHidden/>
          </w:rPr>
          <w:fldChar w:fldCharType="separate"/>
        </w:r>
        <w:r>
          <w:rPr>
            <w:noProof/>
            <w:webHidden/>
          </w:rPr>
          <w:t>671</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193" w:history="1">
        <w:r w:rsidRPr="001F2F9B">
          <w:rPr>
            <w:rStyle w:val="Hyperlink"/>
            <w:noProof/>
          </w:rPr>
          <w:t>1.3</w:t>
        </w:r>
        <w:r w:rsidRPr="001F2F9B">
          <w:rPr>
            <w:rFonts w:eastAsiaTheme="minorEastAsia"/>
            <w:noProof/>
            <w:lang w:eastAsia="en-GB"/>
          </w:rPr>
          <w:tab/>
        </w:r>
        <w:r w:rsidRPr="001F2F9B">
          <w:rPr>
            <w:rStyle w:val="Hyperlink"/>
            <w:noProof/>
          </w:rPr>
          <w:t>Financing</w:t>
        </w:r>
        <w:r w:rsidRPr="001F2F9B">
          <w:rPr>
            <w:noProof/>
            <w:webHidden/>
          </w:rPr>
          <w:tab/>
        </w:r>
        <w:r w:rsidRPr="001F2F9B">
          <w:rPr>
            <w:noProof/>
            <w:webHidden/>
          </w:rPr>
          <w:fldChar w:fldCharType="begin"/>
        </w:r>
        <w:r w:rsidRPr="001F2F9B">
          <w:rPr>
            <w:noProof/>
            <w:webHidden/>
          </w:rPr>
          <w:instrText xml:space="preserve"> PAGEREF _Toc444176193 \h </w:instrText>
        </w:r>
        <w:r w:rsidRPr="001F2F9B">
          <w:rPr>
            <w:noProof/>
            <w:webHidden/>
          </w:rPr>
        </w:r>
        <w:r w:rsidRPr="001F2F9B">
          <w:rPr>
            <w:noProof/>
            <w:webHidden/>
          </w:rPr>
          <w:fldChar w:fldCharType="separate"/>
        </w:r>
        <w:r>
          <w:rPr>
            <w:noProof/>
            <w:webHidden/>
          </w:rPr>
          <w:t>671</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94" w:history="1">
        <w:r w:rsidRPr="001F2F9B">
          <w:rPr>
            <w:rStyle w:val="Hyperlink"/>
            <w:noProof/>
          </w:rPr>
          <w:t>1.3.1</w:t>
        </w:r>
        <w:r w:rsidRPr="001F2F9B">
          <w:rPr>
            <w:rFonts w:eastAsiaTheme="minorEastAsia"/>
            <w:noProof/>
            <w:lang w:eastAsia="en-GB"/>
          </w:rPr>
          <w:tab/>
        </w:r>
        <w:r w:rsidRPr="001F2F9B">
          <w:rPr>
            <w:rStyle w:val="Hyperlink"/>
            <w:noProof/>
          </w:rPr>
          <w:t>Investing in preparedness</w:t>
        </w:r>
        <w:r w:rsidRPr="001F2F9B">
          <w:rPr>
            <w:noProof/>
            <w:webHidden/>
          </w:rPr>
          <w:tab/>
        </w:r>
        <w:r w:rsidRPr="001F2F9B">
          <w:rPr>
            <w:noProof/>
            <w:webHidden/>
          </w:rPr>
          <w:fldChar w:fldCharType="begin"/>
        </w:r>
        <w:r w:rsidRPr="001F2F9B">
          <w:rPr>
            <w:noProof/>
            <w:webHidden/>
          </w:rPr>
          <w:instrText xml:space="preserve"> PAGEREF _Toc444176194 \h </w:instrText>
        </w:r>
        <w:r w:rsidRPr="001F2F9B">
          <w:rPr>
            <w:noProof/>
            <w:webHidden/>
          </w:rPr>
        </w:r>
        <w:r w:rsidRPr="001F2F9B">
          <w:rPr>
            <w:noProof/>
            <w:webHidden/>
          </w:rPr>
          <w:fldChar w:fldCharType="separate"/>
        </w:r>
        <w:r>
          <w:rPr>
            <w:noProof/>
            <w:webHidden/>
          </w:rPr>
          <w:t>671</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95" w:history="1">
        <w:r w:rsidRPr="001F2F9B">
          <w:rPr>
            <w:rStyle w:val="Hyperlink"/>
            <w:noProof/>
          </w:rPr>
          <w:t>1.3.2</w:t>
        </w:r>
        <w:r w:rsidRPr="001F2F9B">
          <w:rPr>
            <w:rFonts w:eastAsiaTheme="minorEastAsia"/>
            <w:noProof/>
            <w:lang w:eastAsia="en-GB"/>
          </w:rPr>
          <w:tab/>
        </w:r>
        <w:r w:rsidRPr="001F2F9B">
          <w:rPr>
            <w:rStyle w:val="Hyperlink"/>
            <w:noProof/>
          </w:rPr>
          <w:t>Investing in consequence management</w:t>
        </w:r>
        <w:r w:rsidRPr="001F2F9B">
          <w:rPr>
            <w:noProof/>
            <w:webHidden/>
          </w:rPr>
          <w:tab/>
        </w:r>
        <w:r w:rsidRPr="001F2F9B">
          <w:rPr>
            <w:noProof/>
            <w:webHidden/>
          </w:rPr>
          <w:fldChar w:fldCharType="begin"/>
        </w:r>
        <w:r w:rsidRPr="001F2F9B">
          <w:rPr>
            <w:noProof/>
            <w:webHidden/>
          </w:rPr>
          <w:instrText xml:space="preserve"> PAGEREF _Toc444176195 \h </w:instrText>
        </w:r>
        <w:r w:rsidRPr="001F2F9B">
          <w:rPr>
            <w:noProof/>
            <w:webHidden/>
          </w:rPr>
        </w:r>
        <w:r w:rsidRPr="001F2F9B">
          <w:rPr>
            <w:noProof/>
            <w:webHidden/>
          </w:rPr>
          <w:fldChar w:fldCharType="separate"/>
        </w:r>
        <w:r>
          <w:rPr>
            <w:noProof/>
            <w:webHidden/>
          </w:rPr>
          <w:t>672</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196" w:history="1">
        <w:r w:rsidRPr="001F2F9B">
          <w:rPr>
            <w:rStyle w:val="Hyperlink"/>
            <w:rFonts w:cs="Times New Roman"/>
            <w:noProof/>
          </w:rPr>
          <w:t>1.4</w:t>
        </w:r>
        <w:r w:rsidRPr="001F2F9B">
          <w:rPr>
            <w:rFonts w:eastAsiaTheme="minorEastAsia"/>
            <w:noProof/>
            <w:lang w:eastAsia="en-GB"/>
          </w:rPr>
          <w:tab/>
        </w:r>
        <w:r w:rsidRPr="001F2F9B">
          <w:rPr>
            <w:rStyle w:val="Hyperlink"/>
            <w:noProof/>
          </w:rPr>
          <w:t>Policy review, Evaluation &amp;Organisational Learning</w:t>
        </w:r>
        <w:r w:rsidRPr="001F2F9B">
          <w:rPr>
            <w:noProof/>
            <w:webHidden/>
          </w:rPr>
          <w:tab/>
        </w:r>
        <w:r w:rsidRPr="001F2F9B">
          <w:rPr>
            <w:noProof/>
            <w:webHidden/>
          </w:rPr>
          <w:fldChar w:fldCharType="begin"/>
        </w:r>
        <w:r w:rsidRPr="001F2F9B">
          <w:rPr>
            <w:noProof/>
            <w:webHidden/>
          </w:rPr>
          <w:instrText xml:space="preserve"> PAGEREF _Toc444176196 \h </w:instrText>
        </w:r>
        <w:r w:rsidRPr="001F2F9B">
          <w:rPr>
            <w:noProof/>
            <w:webHidden/>
          </w:rPr>
        </w:r>
        <w:r w:rsidRPr="001F2F9B">
          <w:rPr>
            <w:noProof/>
            <w:webHidden/>
          </w:rPr>
          <w:fldChar w:fldCharType="separate"/>
        </w:r>
        <w:r>
          <w:rPr>
            <w:noProof/>
            <w:webHidden/>
          </w:rPr>
          <w:t>673</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97" w:history="1">
        <w:r w:rsidRPr="001F2F9B">
          <w:rPr>
            <w:rStyle w:val="Hyperlink"/>
            <w:noProof/>
          </w:rPr>
          <w:t>1.4.1</w:t>
        </w:r>
        <w:r w:rsidRPr="001F2F9B">
          <w:rPr>
            <w:rFonts w:eastAsiaTheme="minorEastAsia"/>
            <w:noProof/>
            <w:lang w:eastAsia="en-GB"/>
          </w:rPr>
          <w:tab/>
        </w:r>
        <w:r w:rsidRPr="001F2F9B">
          <w:rPr>
            <w:rStyle w:val="Hyperlink"/>
            <w:noProof/>
          </w:rPr>
          <w:t>Post-Disaster Assessment</w:t>
        </w:r>
        <w:r w:rsidRPr="001F2F9B">
          <w:rPr>
            <w:noProof/>
            <w:webHidden/>
          </w:rPr>
          <w:tab/>
        </w:r>
        <w:r w:rsidRPr="001F2F9B">
          <w:rPr>
            <w:noProof/>
            <w:webHidden/>
          </w:rPr>
          <w:fldChar w:fldCharType="begin"/>
        </w:r>
        <w:r w:rsidRPr="001F2F9B">
          <w:rPr>
            <w:noProof/>
            <w:webHidden/>
          </w:rPr>
          <w:instrText xml:space="preserve"> PAGEREF _Toc444176197 \h </w:instrText>
        </w:r>
        <w:r w:rsidRPr="001F2F9B">
          <w:rPr>
            <w:noProof/>
            <w:webHidden/>
          </w:rPr>
        </w:r>
        <w:r w:rsidRPr="001F2F9B">
          <w:rPr>
            <w:noProof/>
            <w:webHidden/>
          </w:rPr>
          <w:fldChar w:fldCharType="separate"/>
        </w:r>
        <w:r>
          <w:rPr>
            <w:noProof/>
            <w:webHidden/>
          </w:rPr>
          <w:t>673</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98" w:history="1">
        <w:r w:rsidRPr="001F2F9B">
          <w:rPr>
            <w:rStyle w:val="Hyperlink"/>
            <w:rFonts w:cs="Times New Roman"/>
            <w:noProof/>
          </w:rPr>
          <w:t>1.4.2</w:t>
        </w:r>
        <w:r w:rsidRPr="001F2F9B">
          <w:rPr>
            <w:rFonts w:eastAsiaTheme="minorEastAsia"/>
            <w:noProof/>
            <w:lang w:eastAsia="en-GB"/>
          </w:rPr>
          <w:tab/>
        </w:r>
        <w:r w:rsidRPr="001F2F9B">
          <w:rPr>
            <w:rStyle w:val="Hyperlink"/>
            <w:noProof/>
          </w:rPr>
          <w:t>Departmental Lessons Learned systems</w:t>
        </w:r>
        <w:r w:rsidRPr="001F2F9B">
          <w:rPr>
            <w:noProof/>
            <w:webHidden/>
          </w:rPr>
          <w:tab/>
        </w:r>
        <w:r w:rsidRPr="001F2F9B">
          <w:rPr>
            <w:noProof/>
            <w:webHidden/>
          </w:rPr>
          <w:fldChar w:fldCharType="begin"/>
        </w:r>
        <w:r w:rsidRPr="001F2F9B">
          <w:rPr>
            <w:noProof/>
            <w:webHidden/>
          </w:rPr>
          <w:instrText xml:space="preserve"> PAGEREF _Toc444176198 \h </w:instrText>
        </w:r>
        <w:r w:rsidRPr="001F2F9B">
          <w:rPr>
            <w:noProof/>
            <w:webHidden/>
          </w:rPr>
        </w:r>
        <w:r w:rsidRPr="001F2F9B">
          <w:rPr>
            <w:noProof/>
            <w:webHidden/>
          </w:rPr>
          <w:fldChar w:fldCharType="separate"/>
        </w:r>
        <w:r>
          <w:rPr>
            <w:noProof/>
            <w:webHidden/>
          </w:rPr>
          <w:t>673</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199" w:history="1">
        <w:r w:rsidRPr="001F2F9B">
          <w:rPr>
            <w:rStyle w:val="Hyperlink"/>
            <w:noProof/>
          </w:rPr>
          <w:t>1.4.3</w:t>
        </w:r>
        <w:r w:rsidRPr="001F2F9B">
          <w:rPr>
            <w:rFonts w:eastAsiaTheme="minorEastAsia"/>
            <w:noProof/>
            <w:lang w:eastAsia="en-GB"/>
          </w:rPr>
          <w:tab/>
        </w:r>
        <w:r w:rsidRPr="001F2F9B">
          <w:rPr>
            <w:rStyle w:val="Hyperlink"/>
            <w:noProof/>
          </w:rPr>
          <w:t>Centralised (national) Lessons Learned system</w:t>
        </w:r>
        <w:r w:rsidRPr="001F2F9B">
          <w:rPr>
            <w:noProof/>
            <w:webHidden/>
          </w:rPr>
          <w:tab/>
        </w:r>
        <w:r w:rsidRPr="001F2F9B">
          <w:rPr>
            <w:noProof/>
            <w:webHidden/>
          </w:rPr>
          <w:fldChar w:fldCharType="begin"/>
        </w:r>
        <w:r w:rsidRPr="001F2F9B">
          <w:rPr>
            <w:noProof/>
            <w:webHidden/>
          </w:rPr>
          <w:instrText xml:space="preserve"> PAGEREF _Toc444176199 \h </w:instrText>
        </w:r>
        <w:r w:rsidRPr="001F2F9B">
          <w:rPr>
            <w:noProof/>
            <w:webHidden/>
          </w:rPr>
        </w:r>
        <w:r w:rsidRPr="001F2F9B">
          <w:rPr>
            <w:noProof/>
            <w:webHidden/>
          </w:rPr>
          <w:fldChar w:fldCharType="separate"/>
        </w:r>
        <w:r>
          <w:rPr>
            <w:noProof/>
            <w:webHidden/>
          </w:rPr>
          <w:t>674</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200" w:history="1">
        <w:r w:rsidRPr="001F2F9B">
          <w:rPr>
            <w:rStyle w:val="Hyperlink"/>
            <w:rFonts w:cs="Times New Roman"/>
            <w:noProof/>
          </w:rPr>
          <w:t>1.4.4</w:t>
        </w:r>
        <w:r w:rsidRPr="001F2F9B">
          <w:rPr>
            <w:rFonts w:eastAsiaTheme="minorEastAsia"/>
            <w:noProof/>
            <w:lang w:eastAsia="en-GB"/>
          </w:rPr>
          <w:tab/>
        </w:r>
        <w:r w:rsidRPr="001F2F9B">
          <w:rPr>
            <w:rStyle w:val="Hyperlink"/>
            <w:noProof/>
          </w:rPr>
          <w:t>International exchange for Lessons Learned</w:t>
        </w:r>
        <w:r w:rsidRPr="001F2F9B">
          <w:rPr>
            <w:noProof/>
            <w:webHidden/>
          </w:rPr>
          <w:tab/>
        </w:r>
        <w:r w:rsidRPr="001F2F9B">
          <w:rPr>
            <w:noProof/>
            <w:webHidden/>
          </w:rPr>
          <w:fldChar w:fldCharType="begin"/>
        </w:r>
        <w:r w:rsidRPr="001F2F9B">
          <w:rPr>
            <w:noProof/>
            <w:webHidden/>
          </w:rPr>
          <w:instrText xml:space="preserve"> PAGEREF _Toc444176200 \h </w:instrText>
        </w:r>
        <w:r w:rsidRPr="001F2F9B">
          <w:rPr>
            <w:noProof/>
            <w:webHidden/>
          </w:rPr>
        </w:r>
        <w:r w:rsidRPr="001F2F9B">
          <w:rPr>
            <w:noProof/>
            <w:webHidden/>
          </w:rPr>
          <w:fldChar w:fldCharType="separate"/>
        </w:r>
        <w:r>
          <w:rPr>
            <w:noProof/>
            <w:webHidden/>
          </w:rPr>
          <w:t>674</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201" w:history="1">
        <w:r w:rsidRPr="001F2F9B">
          <w:rPr>
            <w:rStyle w:val="Hyperlink"/>
            <w:noProof/>
          </w:rPr>
          <w:t>1.4.5</w:t>
        </w:r>
        <w:r w:rsidRPr="001F2F9B">
          <w:rPr>
            <w:rFonts w:eastAsiaTheme="minorEastAsia"/>
            <w:noProof/>
            <w:lang w:eastAsia="en-GB"/>
          </w:rPr>
          <w:tab/>
        </w:r>
        <w:r w:rsidRPr="001F2F9B">
          <w:rPr>
            <w:rStyle w:val="Hyperlink"/>
            <w:noProof/>
          </w:rPr>
          <w:t>Regular policy reviews</w:t>
        </w:r>
        <w:r w:rsidRPr="001F2F9B">
          <w:rPr>
            <w:noProof/>
            <w:webHidden/>
          </w:rPr>
          <w:tab/>
        </w:r>
        <w:r w:rsidRPr="001F2F9B">
          <w:rPr>
            <w:noProof/>
            <w:webHidden/>
          </w:rPr>
          <w:fldChar w:fldCharType="begin"/>
        </w:r>
        <w:r w:rsidRPr="001F2F9B">
          <w:rPr>
            <w:noProof/>
            <w:webHidden/>
          </w:rPr>
          <w:instrText xml:space="preserve"> PAGEREF _Toc444176201 \h </w:instrText>
        </w:r>
        <w:r w:rsidRPr="001F2F9B">
          <w:rPr>
            <w:noProof/>
            <w:webHidden/>
          </w:rPr>
        </w:r>
        <w:r w:rsidRPr="001F2F9B">
          <w:rPr>
            <w:noProof/>
            <w:webHidden/>
          </w:rPr>
          <w:fldChar w:fldCharType="separate"/>
        </w:r>
        <w:r>
          <w:rPr>
            <w:noProof/>
            <w:webHidden/>
          </w:rPr>
          <w:t>674</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02" w:history="1">
        <w:r w:rsidRPr="001F2F9B">
          <w:rPr>
            <w:rStyle w:val="Hyperlink"/>
            <w:noProof/>
          </w:rPr>
          <w:t>1.5</w:t>
        </w:r>
        <w:r w:rsidRPr="001F2F9B">
          <w:rPr>
            <w:rFonts w:eastAsiaTheme="minorEastAsia"/>
            <w:noProof/>
            <w:lang w:eastAsia="en-GB"/>
          </w:rPr>
          <w:tab/>
        </w:r>
        <w:r w:rsidRPr="001F2F9B">
          <w:rPr>
            <w:rStyle w:val="Hyperlink"/>
            <w:noProof/>
          </w:rPr>
          <w:t>Resilience</w:t>
        </w:r>
        <w:r w:rsidRPr="001F2F9B">
          <w:rPr>
            <w:noProof/>
            <w:webHidden/>
          </w:rPr>
          <w:tab/>
        </w:r>
        <w:r w:rsidRPr="001F2F9B">
          <w:rPr>
            <w:noProof/>
            <w:webHidden/>
          </w:rPr>
          <w:fldChar w:fldCharType="begin"/>
        </w:r>
        <w:r w:rsidRPr="001F2F9B">
          <w:rPr>
            <w:noProof/>
            <w:webHidden/>
          </w:rPr>
          <w:instrText xml:space="preserve"> PAGEREF _Toc444176202 \h </w:instrText>
        </w:r>
        <w:r w:rsidRPr="001F2F9B">
          <w:rPr>
            <w:noProof/>
            <w:webHidden/>
          </w:rPr>
        </w:r>
        <w:r w:rsidRPr="001F2F9B">
          <w:rPr>
            <w:noProof/>
            <w:webHidden/>
          </w:rPr>
          <w:fldChar w:fldCharType="separate"/>
        </w:r>
        <w:r>
          <w:rPr>
            <w:noProof/>
            <w:webHidden/>
          </w:rPr>
          <w:t>676</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03" w:history="1">
        <w:r w:rsidRPr="001F2F9B">
          <w:rPr>
            <w:rStyle w:val="Hyperlink"/>
            <w:rFonts w:cs="Times New Roman"/>
            <w:noProof/>
          </w:rPr>
          <w:t>1.6</w:t>
        </w:r>
        <w:r w:rsidRPr="001F2F9B">
          <w:rPr>
            <w:rFonts w:eastAsiaTheme="minorEastAsia"/>
            <w:noProof/>
            <w:lang w:eastAsia="en-GB"/>
          </w:rPr>
          <w:tab/>
        </w:r>
        <w:r w:rsidRPr="001F2F9B">
          <w:rPr>
            <w:rStyle w:val="Hyperlink"/>
            <w:noProof/>
          </w:rPr>
          <w:t>Information sharing and data protection</w:t>
        </w:r>
        <w:r w:rsidRPr="001F2F9B">
          <w:rPr>
            <w:noProof/>
            <w:webHidden/>
          </w:rPr>
          <w:tab/>
        </w:r>
        <w:r w:rsidRPr="001F2F9B">
          <w:rPr>
            <w:noProof/>
            <w:webHidden/>
          </w:rPr>
          <w:fldChar w:fldCharType="begin"/>
        </w:r>
        <w:r w:rsidRPr="001F2F9B">
          <w:rPr>
            <w:noProof/>
            <w:webHidden/>
          </w:rPr>
          <w:instrText xml:space="preserve"> PAGEREF _Toc444176203 \h </w:instrText>
        </w:r>
        <w:r w:rsidRPr="001F2F9B">
          <w:rPr>
            <w:noProof/>
            <w:webHidden/>
          </w:rPr>
        </w:r>
        <w:r w:rsidRPr="001F2F9B">
          <w:rPr>
            <w:noProof/>
            <w:webHidden/>
          </w:rPr>
          <w:fldChar w:fldCharType="separate"/>
        </w:r>
        <w:r>
          <w:rPr>
            <w:noProof/>
            <w:webHidden/>
          </w:rPr>
          <w:t>676</w:t>
        </w:r>
        <w:r w:rsidRPr="001F2F9B">
          <w:rPr>
            <w:noProof/>
            <w:webHidden/>
          </w:rPr>
          <w:fldChar w:fldCharType="end"/>
        </w:r>
      </w:hyperlink>
    </w:p>
    <w:p w:rsidR="00CA1321" w:rsidRPr="001F2F9B" w:rsidRDefault="00CA1321" w:rsidP="00CA1321">
      <w:pPr>
        <w:pStyle w:val="Verzeichnis1"/>
        <w:rPr>
          <w:rFonts w:eastAsiaTheme="minorEastAsia"/>
          <w:b/>
          <w:noProof/>
          <w:lang w:eastAsia="en-GB"/>
        </w:rPr>
      </w:pPr>
      <w:hyperlink w:anchor="_Toc444176204" w:history="1">
        <w:r w:rsidRPr="001F2F9B">
          <w:rPr>
            <w:rStyle w:val="Hyperlink"/>
            <w:noProof/>
          </w:rPr>
          <w:t>2</w:t>
        </w:r>
        <w:r w:rsidRPr="001F2F9B">
          <w:rPr>
            <w:rFonts w:eastAsiaTheme="minorEastAsia"/>
            <w:noProof/>
            <w:lang w:eastAsia="en-GB"/>
          </w:rPr>
          <w:tab/>
        </w:r>
        <w:r w:rsidRPr="001F2F9B">
          <w:rPr>
            <w:rStyle w:val="Hyperlink"/>
            <w:noProof/>
          </w:rPr>
          <w:t>Legislation</w:t>
        </w:r>
        <w:r w:rsidRPr="001F2F9B">
          <w:rPr>
            <w:noProof/>
            <w:webHidden/>
          </w:rPr>
          <w:tab/>
        </w:r>
        <w:r w:rsidRPr="001F2F9B">
          <w:rPr>
            <w:noProof/>
            <w:webHidden/>
          </w:rPr>
          <w:fldChar w:fldCharType="begin"/>
        </w:r>
        <w:r w:rsidRPr="001F2F9B">
          <w:rPr>
            <w:noProof/>
            <w:webHidden/>
          </w:rPr>
          <w:instrText xml:space="preserve"> PAGEREF _Toc444176204 \h </w:instrText>
        </w:r>
        <w:r w:rsidRPr="001F2F9B">
          <w:rPr>
            <w:noProof/>
            <w:webHidden/>
          </w:rPr>
        </w:r>
        <w:r w:rsidRPr="001F2F9B">
          <w:rPr>
            <w:noProof/>
            <w:webHidden/>
          </w:rPr>
          <w:fldChar w:fldCharType="separate"/>
        </w:r>
        <w:r>
          <w:rPr>
            <w:noProof/>
            <w:webHidden/>
          </w:rPr>
          <w:t>677</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05" w:history="1">
        <w:r w:rsidRPr="001F2F9B">
          <w:rPr>
            <w:rStyle w:val="Hyperlink"/>
            <w:rFonts w:cs="Times New Roman"/>
            <w:noProof/>
          </w:rPr>
          <w:t>2.1</w:t>
        </w:r>
        <w:r w:rsidRPr="001F2F9B">
          <w:rPr>
            <w:rFonts w:eastAsiaTheme="minorEastAsia"/>
            <w:noProof/>
            <w:lang w:eastAsia="en-GB"/>
          </w:rPr>
          <w:tab/>
        </w:r>
        <w:r w:rsidRPr="001F2F9B">
          <w:rPr>
            <w:rStyle w:val="Hyperlink"/>
            <w:noProof/>
          </w:rPr>
          <w:t>Crisis (emergency, disaster) management concept</w:t>
        </w:r>
        <w:r w:rsidRPr="001F2F9B">
          <w:rPr>
            <w:noProof/>
            <w:webHidden/>
          </w:rPr>
          <w:tab/>
        </w:r>
        <w:r w:rsidRPr="001F2F9B">
          <w:rPr>
            <w:noProof/>
            <w:webHidden/>
          </w:rPr>
          <w:fldChar w:fldCharType="begin"/>
        </w:r>
        <w:r w:rsidRPr="001F2F9B">
          <w:rPr>
            <w:noProof/>
            <w:webHidden/>
          </w:rPr>
          <w:instrText xml:space="preserve"> PAGEREF _Toc444176205 \h </w:instrText>
        </w:r>
        <w:r w:rsidRPr="001F2F9B">
          <w:rPr>
            <w:noProof/>
            <w:webHidden/>
          </w:rPr>
        </w:r>
        <w:r w:rsidRPr="001F2F9B">
          <w:rPr>
            <w:noProof/>
            <w:webHidden/>
          </w:rPr>
          <w:fldChar w:fldCharType="separate"/>
        </w:r>
        <w:r>
          <w:rPr>
            <w:noProof/>
            <w:webHidden/>
          </w:rPr>
          <w:t>677</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06" w:history="1">
        <w:r w:rsidRPr="001F2F9B">
          <w:rPr>
            <w:rStyle w:val="Hyperlink"/>
            <w:rFonts w:cs="Times New Roman"/>
            <w:noProof/>
          </w:rPr>
          <w:t>2.2</w:t>
        </w:r>
        <w:r w:rsidRPr="001F2F9B">
          <w:rPr>
            <w:rFonts w:eastAsiaTheme="minorEastAsia"/>
            <w:noProof/>
            <w:lang w:eastAsia="en-GB"/>
          </w:rPr>
          <w:tab/>
        </w:r>
        <w:r w:rsidRPr="001F2F9B">
          <w:rPr>
            <w:rStyle w:val="Hyperlink"/>
            <w:noProof/>
          </w:rPr>
          <w:t>General crisis (emergency, disaster) management law</w:t>
        </w:r>
        <w:r w:rsidRPr="001F2F9B">
          <w:rPr>
            <w:noProof/>
            <w:webHidden/>
          </w:rPr>
          <w:tab/>
        </w:r>
        <w:r w:rsidRPr="001F2F9B">
          <w:rPr>
            <w:noProof/>
            <w:webHidden/>
          </w:rPr>
          <w:fldChar w:fldCharType="begin"/>
        </w:r>
        <w:r w:rsidRPr="001F2F9B">
          <w:rPr>
            <w:noProof/>
            <w:webHidden/>
          </w:rPr>
          <w:instrText xml:space="preserve"> PAGEREF _Toc444176206 \h </w:instrText>
        </w:r>
        <w:r w:rsidRPr="001F2F9B">
          <w:rPr>
            <w:noProof/>
            <w:webHidden/>
          </w:rPr>
        </w:r>
        <w:r w:rsidRPr="001F2F9B">
          <w:rPr>
            <w:noProof/>
            <w:webHidden/>
          </w:rPr>
          <w:fldChar w:fldCharType="separate"/>
        </w:r>
        <w:r>
          <w:rPr>
            <w:noProof/>
            <w:webHidden/>
          </w:rPr>
          <w:t>677</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07" w:history="1">
        <w:r w:rsidRPr="001F2F9B">
          <w:rPr>
            <w:rStyle w:val="Hyperlink"/>
            <w:noProof/>
          </w:rPr>
          <w:t>2.3</w:t>
        </w:r>
        <w:r w:rsidRPr="001F2F9B">
          <w:rPr>
            <w:rFonts w:eastAsiaTheme="minorEastAsia"/>
            <w:noProof/>
            <w:lang w:eastAsia="en-GB"/>
          </w:rPr>
          <w:tab/>
        </w:r>
        <w:r w:rsidRPr="001F2F9B">
          <w:rPr>
            <w:rStyle w:val="Hyperlink"/>
            <w:noProof/>
          </w:rPr>
          <w:t>Emergency rule</w:t>
        </w:r>
        <w:r w:rsidRPr="001F2F9B">
          <w:rPr>
            <w:noProof/>
            <w:webHidden/>
          </w:rPr>
          <w:tab/>
        </w:r>
        <w:r w:rsidRPr="001F2F9B">
          <w:rPr>
            <w:noProof/>
            <w:webHidden/>
          </w:rPr>
          <w:fldChar w:fldCharType="begin"/>
        </w:r>
        <w:r w:rsidRPr="001F2F9B">
          <w:rPr>
            <w:noProof/>
            <w:webHidden/>
          </w:rPr>
          <w:instrText xml:space="preserve"> PAGEREF _Toc444176207 \h </w:instrText>
        </w:r>
        <w:r w:rsidRPr="001F2F9B">
          <w:rPr>
            <w:noProof/>
            <w:webHidden/>
          </w:rPr>
        </w:r>
        <w:r w:rsidRPr="001F2F9B">
          <w:rPr>
            <w:noProof/>
            <w:webHidden/>
          </w:rPr>
          <w:fldChar w:fldCharType="separate"/>
        </w:r>
        <w:r>
          <w:rPr>
            <w:noProof/>
            <w:webHidden/>
          </w:rPr>
          <w:t>678</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08" w:history="1">
        <w:r w:rsidRPr="001F2F9B">
          <w:rPr>
            <w:rStyle w:val="Hyperlink"/>
            <w:noProof/>
          </w:rPr>
          <w:t>2.4</w:t>
        </w:r>
        <w:r w:rsidRPr="001F2F9B">
          <w:rPr>
            <w:rFonts w:eastAsiaTheme="minorEastAsia"/>
            <w:noProof/>
            <w:lang w:eastAsia="en-GB"/>
          </w:rPr>
          <w:tab/>
        </w:r>
        <w:r w:rsidRPr="001F2F9B">
          <w:rPr>
            <w:rStyle w:val="Hyperlink"/>
            <w:noProof/>
          </w:rPr>
          <w:t>Specific, department/agency-level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_Toc444176208 \h </w:instrText>
        </w:r>
        <w:r w:rsidRPr="001F2F9B">
          <w:rPr>
            <w:noProof/>
            <w:webHidden/>
          </w:rPr>
        </w:r>
        <w:r w:rsidRPr="001F2F9B">
          <w:rPr>
            <w:noProof/>
            <w:webHidden/>
          </w:rPr>
          <w:fldChar w:fldCharType="separate"/>
        </w:r>
        <w:r>
          <w:rPr>
            <w:noProof/>
            <w:webHidden/>
          </w:rPr>
          <w:t>679</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09" w:history="1">
        <w:r w:rsidRPr="001F2F9B">
          <w:rPr>
            <w:rStyle w:val="Hyperlink"/>
            <w:noProof/>
          </w:rPr>
          <w:t>2.5</w:t>
        </w:r>
        <w:r w:rsidRPr="001F2F9B">
          <w:rPr>
            <w:rFonts w:eastAsiaTheme="minorEastAsia"/>
            <w:noProof/>
            <w:lang w:eastAsia="en-GB"/>
          </w:rPr>
          <w:tab/>
        </w:r>
        <w:r w:rsidRPr="001F2F9B">
          <w:rPr>
            <w:rStyle w:val="Hyperlink"/>
            <w:noProof/>
          </w:rPr>
          <w:t>Specific to the regional and local authorities legal arrangements and regulations on emergency and disaster management</w:t>
        </w:r>
        <w:r w:rsidRPr="001F2F9B">
          <w:rPr>
            <w:noProof/>
            <w:webHidden/>
          </w:rPr>
          <w:tab/>
        </w:r>
        <w:r w:rsidRPr="001F2F9B">
          <w:rPr>
            <w:noProof/>
            <w:webHidden/>
          </w:rPr>
          <w:fldChar w:fldCharType="begin"/>
        </w:r>
        <w:r w:rsidRPr="001F2F9B">
          <w:rPr>
            <w:noProof/>
            <w:webHidden/>
          </w:rPr>
          <w:instrText xml:space="preserve"> PAGEREF _Toc444176209 \h </w:instrText>
        </w:r>
        <w:r w:rsidRPr="001F2F9B">
          <w:rPr>
            <w:noProof/>
            <w:webHidden/>
          </w:rPr>
        </w:r>
        <w:r w:rsidRPr="001F2F9B">
          <w:rPr>
            <w:noProof/>
            <w:webHidden/>
          </w:rPr>
          <w:fldChar w:fldCharType="separate"/>
        </w:r>
        <w:r>
          <w:rPr>
            <w:noProof/>
            <w:webHidden/>
          </w:rPr>
          <w:t>679</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10" w:history="1">
        <w:r w:rsidRPr="001F2F9B">
          <w:rPr>
            <w:rStyle w:val="Hyperlink"/>
            <w:rFonts w:cs="Times New Roman"/>
            <w:noProof/>
          </w:rPr>
          <w:t>2.6</w:t>
        </w:r>
        <w:r w:rsidRPr="001F2F9B">
          <w:rPr>
            <w:rFonts w:eastAsiaTheme="minorEastAsia"/>
            <w:noProof/>
            <w:lang w:eastAsia="en-GB"/>
          </w:rPr>
          <w:tab/>
        </w:r>
        <w:r w:rsidRPr="001F2F9B">
          <w:rPr>
            <w:rStyle w:val="Hyperlink"/>
            <w:noProof/>
          </w:rPr>
          <w:t>Legal regulations on the involvement of volunteers and specialised NGOs</w:t>
        </w:r>
        <w:r w:rsidRPr="001F2F9B">
          <w:rPr>
            <w:noProof/>
            <w:webHidden/>
          </w:rPr>
          <w:tab/>
        </w:r>
        <w:r w:rsidRPr="001F2F9B">
          <w:rPr>
            <w:noProof/>
            <w:webHidden/>
          </w:rPr>
          <w:fldChar w:fldCharType="begin"/>
        </w:r>
        <w:r w:rsidRPr="001F2F9B">
          <w:rPr>
            <w:noProof/>
            <w:webHidden/>
          </w:rPr>
          <w:instrText xml:space="preserve"> PAGEREF _Toc444176210 \h </w:instrText>
        </w:r>
        <w:r w:rsidRPr="001F2F9B">
          <w:rPr>
            <w:noProof/>
            <w:webHidden/>
          </w:rPr>
        </w:r>
        <w:r w:rsidRPr="001F2F9B">
          <w:rPr>
            <w:noProof/>
            <w:webHidden/>
          </w:rPr>
          <w:fldChar w:fldCharType="separate"/>
        </w:r>
        <w:r>
          <w:rPr>
            <w:noProof/>
            <w:webHidden/>
          </w:rPr>
          <w:t>680</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11" w:history="1">
        <w:r w:rsidRPr="001F2F9B">
          <w:rPr>
            <w:rStyle w:val="Hyperlink"/>
            <w:noProof/>
          </w:rPr>
          <w:t>2.7</w:t>
        </w:r>
        <w:r w:rsidRPr="001F2F9B">
          <w:rPr>
            <w:rFonts w:eastAsiaTheme="minorEastAsia"/>
            <w:noProof/>
            <w:lang w:eastAsia="en-GB"/>
          </w:rPr>
          <w:tab/>
        </w:r>
        <w:r w:rsidRPr="001F2F9B">
          <w:rPr>
            <w:rStyle w:val="Hyperlink"/>
            <w:noProof/>
          </w:rPr>
          <w:t>Legal regulations for international engagements of first responders and crisis managers</w:t>
        </w:r>
        <w:r w:rsidRPr="001F2F9B">
          <w:rPr>
            <w:noProof/>
            <w:webHidden/>
          </w:rPr>
          <w:tab/>
        </w:r>
        <w:r w:rsidRPr="001F2F9B">
          <w:rPr>
            <w:noProof/>
            <w:webHidden/>
          </w:rPr>
          <w:fldChar w:fldCharType="begin"/>
        </w:r>
        <w:r w:rsidRPr="001F2F9B">
          <w:rPr>
            <w:noProof/>
            <w:webHidden/>
          </w:rPr>
          <w:instrText xml:space="preserve"> PAGEREF _Toc444176211 \h </w:instrText>
        </w:r>
        <w:r w:rsidRPr="001F2F9B">
          <w:rPr>
            <w:noProof/>
            <w:webHidden/>
          </w:rPr>
        </w:r>
        <w:r w:rsidRPr="001F2F9B">
          <w:rPr>
            <w:noProof/>
            <w:webHidden/>
          </w:rPr>
          <w:fldChar w:fldCharType="separate"/>
        </w:r>
        <w:r>
          <w:rPr>
            <w:noProof/>
            <w:webHidden/>
          </w:rPr>
          <w:t>680</w:t>
        </w:r>
        <w:r w:rsidRPr="001F2F9B">
          <w:rPr>
            <w:noProof/>
            <w:webHidden/>
          </w:rPr>
          <w:fldChar w:fldCharType="end"/>
        </w:r>
      </w:hyperlink>
    </w:p>
    <w:p w:rsidR="00CA1321" w:rsidRPr="001F2F9B" w:rsidRDefault="00CA1321" w:rsidP="00CA1321">
      <w:pPr>
        <w:pStyle w:val="Verzeichnis1"/>
        <w:rPr>
          <w:rFonts w:eastAsiaTheme="minorEastAsia"/>
          <w:b/>
          <w:noProof/>
          <w:lang w:eastAsia="en-GB"/>
        </w:rPr>
      </w:pPr>
      <w:hyperlink w:anchor="_Toc444176212" w:history="1">
        <w:r w:rsidRPr="001F2F9B">
          <w:rPr>
            <w:rStyle w:val="Hyperlink"/>
            <w:noProof/>
          </w:rPr>
          <w:t>3</w:t>
        </w:r>
        <w:r w:rsidRPr="001F2F9B">
          <w:rPr>
            <w:rFonts w:eastAsiaTheme="minorEastAsia"/>
            <w:noProof/>
            <w:lang w:eastAsia="en-GB"/>
          </w:rPr>
          <w:tab/>
        </w:r>
        <w:r w:rsidRPr="001F2F9B">
          <w:rPr>
            <w:rStyle w:val="Hyperlink"/>
            <w:noProof/>
          </w:rPr>
          <w:t>Organisation</w:t>
        </w:r>
        <w:r w:rsidRPr="001F2F9B">
          <w:rPr>
            <w:noProof/>
            <w:webHidden/>
          </w:rPr>
          <w:tab/>
        </w:r>
        <w:r w:rsidRPr="001F2F9B">
          <w:rPr>
            <w:noProof/>
            <w:webHidden/>
          </w:rPr>
          <w:fldChar w:fldCharType="begin"/>
        </w:r>
        <w:r w:rsidRPr="001F2F9B">
          <w:rPr>
            <w:noProof/>
            <w:webHidden/>
          </w:rPr>
          <w:instrText xml:space="preserve"> PAGEREF _Toc444176212 \h </w:instrText>
        </w:r>
        <w:r w:rsidRPr="001F2F9B">
          <w:rPr>
            <w:noProof/>
            <w:webHidden/>
          </w:rPr>
        </w:r>
        <w:r w:rsidRPr="001F2F9B">
          <w:rPr>
            <w:noProof/>
            <w:webHidden/>
          </w:rPr>
          <w:fldChar w:fldCharType="separate"/>
        </w:r>
        <w:r>
          <w:rPr>
            <w:noProof/>
            <w:webHidden/>
          </w:rPr>
          <w:t>682</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13" w:history="1">
        <w:r w:rsidRPr="001F2F9B">
          <w:rPr>
            <w:rStyle w:val="Hyperlink"/>
            <w:noProof/>
          </w:rPr>
          <w:t>3.1</w:t>
        </w:r>
        <w:r w:rsidRPr="001F2F9B">
          <w:rPr>
            <w:rFonts w:eastAsiaTheme="minorEastAsia"/>
            <w:noProof/>
            <w:lang w:eastAsia="en-GB"/>
          </w:rPr>
          <w:tab/>
        </w:r>
        <w:r w:rsidRPr="001F2F9B">
          <w:rPr>
            <w:rStyle w:val="Hyperlink"/>
            <w:noProof/>
          </w:rPr>
          <w:t>Organisational chart</w:t>
        </w:r>
        <w:r w:rsidRPr="001F2F9B">
          <w:rPr>
            <w:noProof/>
            <w:webHidden/>
          </w:rPr>
          <w:tab/>
        </w:r>
        <w:r w:rsidRPr="001F2F9B">
          <w:rPr>
            <w:noProof/>
            <w:webHidden/>
          </w:rPr>
          <w:fldChar w:fldCharType="begin"/>
        </w:r>
        <w:r w:rsidRPr="001F2F9B">
          <w:rPr>
            <w:noProof/>
            <w:webHidden/>
          </w:rPr>
          <w:instrText xml:space="preserve"> PAGEREF _Toc444176213 \h </w:instrText>
        </w:r>
        <w:r w:rsidRPr="001F2F9B">
          <w:rPr>
            <w:noProof/>
            <w:webHidden/>
          </w:rPr>
        </w:r>
        <w:r w:rsidRPr="001F2F9B">
          <w:rPr>
            <w:noProof/>
            <w:webHidden/>
          </w:rPr>
          <w:fldChar w:fldCharType="separate"/>
        </w:r>
        <w:r>
          <w:rPr>
            <w:noProof/>
            <w:webHidden/>
          </w:rPr>
          <w:t>682</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14" w:history="1">
        <w:r w:rsidRPr="001F2F9B">
          <w:rPr>
            <w:rStyle w:val="Hyperlink"/>
            <w:rFonts w:cs="Times New Roman"/>
            <w:noProof/>
          </w:rPr>
          <w:t>3.2</w:t>
        </w:r>
        <w:r w:rsidRPr="001F2F9B">
          <w:rPr>
            <w:rFonts w:eastAsiaTheme="minorEastAsia"/>
            <w:noProof/>
            <w:lang w:eastAsia="en-GB"/>
          </w:rPr>
          <w:tab/>
        </w:r>
        <w:r w:rsidRPr="001F2F9B">
          <w:rPr>
            <w:rStyle w:val="Hyperlink"/>
            <w:noProof/>
          </w:rPr>
          <w:t>Organisational cooperation</w:t>
        </w:r>
        <w:r w:rsidRPr="001F2F9B">
          <w:rPr>
            <w:noProof/>
            <w:webHidden/>
          </w:rPr>
          <w:tab/>
        </w:r>
        <w:r w:rsidRPr="001F2F9B">
          <w:rPr>
            <w:noProof/>
            <w:webHidden/>
          </w:rPr>
          <w:fldChar w:fldCharType="begin"/>
        </w:r>
        <w:r w:rsidRPr="001F2F9B">
          <w:rPr>
            <w:noProof/>
            <w:webHidden/>
          </w:rPr>
          <w:instrText xml:space="preserve"> PAGEREF _Toc444176214 \h </w:instrText>
        </w:r>
        <w:r w:rsidRPr="001F2F9B">
          <w:rPr>
            <w:noProof/>
            <w:webHidden/>
          </w:rPr>
        </w:r>
        <w:r w:rsidRPr="001F2F9B">
          <w:rPr>
            <w:noProof/>
            <w:webHidden/>
          </w:rPr>
          <w:fldChar w:fldCharType="separate"/>
        </w:r>
        <w:r>
          <w:rPr>
            <w:noProof/>
            <w:webHidden/>
          </w:rPr>
          <w:t>687</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215" w:history="1">
        <w:r w:rsidRPr="001F2F9B">
          <w:rPr>
            <w:rStyle w:val="Hyperlink"/>
            <w:noProof/>
          </w:rPr>
          <w:t>3.2.1</w:t>
        </w:r>
        <w:r w:rsidRPr="001F2F9B">
          <w:rPr>
            <w:rFonts w:eastAsiaTheme="minorEastAsia"/>
            <w:noProof/>
            <w:lang w:eastAsia="en-GB"/>
          </w:rPr>
          <w:tab/>
        </w:r>
        <w:r w:rsidRPr="001F2F9B">
          <w:rPr>
            <w:rStyle w:val="Hyperlink"/>
            <w:noProof/>
          </w:rPr>
          <w:t>National Cooperation</w:t>
        </w:r>
        <w:r w:rsidRPr="001F2F9B">
          <w:rPr>
            <w:noProof/>
            <w:webHidden/>
          </w:rPr>
          <w:tab/>
        </w:r>
        <w:r w:rsidRPr="001F2F9B">
          <w:rPr>
            <w:noProof/>
            <w:webHidden/>
          </w:rPr>
          <w:fldChar w:fldCharType="begin"/>
        </w:r>
        <w:r w:rsidRPr="001F2F9B">
          <w:rPr>
            <w:noProof/>
            <w:webHidden/>
          </w:rPr>
          <w:instrText xml:space="preserve"> PAGEREF _Toc444176215 \h </w:instrText>
        </w:r>
        <w:r w:rsidRPr="001F2F9B">
          <w:rPr>
            <w:noProof/>
            <w:webHidden/>
          </w:rPr>
        </w:r>
        <w:r w:rsidRPr="001F2F9B">
          <w:rPr>
            <w:noProof/>
            <w:webHidden/>
          </w:rPr>
          <w:fldChar w:fldCharType="separate"/>
        </w:r>
        <w:r>
          <w:rPr>
            <w:noProof/>
            <w:webHidden/>
          </w:rPr>
          <w:t>687</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216" w:history="1">
        <w:r w:rsidRPr="001F2F9B">
          <w:rPr>
            <w:rStyle w:val="Hyperlink"/>
            <w:noProof/>
          </w:rPr>
          <w:t>3.2.2</w:t>
        </w:r>
        <w:r w:rsidRPr="001F2F9B">
          <w:rPr>
            <w:rFonts w:eastAsiaTheme="minorEastAsia"/>
            <w:noProof/>
            <w:lang w:eastAsia="en-GB"/>
          </w:rPr>
          <w:tab/>
        </w:r>
        <w:r w:rsidRPr="001F2F9B">
          <w:rPr>
            <w:rStyle w:val="Hyperlink"/>
            <w:noProof/>
          </w:rPr>
          <w:t>International Cooperation</w:t>
        </w:r>
        <w:r w:rsidRPr="001F2F9B">
          <w:rPr>
            <w:noProof/>
            <w:webHidden/>
          </w:rPr>
          <w:tab/>
        </w:r>
        <w:r w:rsidRPr="001F2F9B">
          <w:rPr>
            <w:noProof/>
            <w:webHidden/>
          </w:rPr>
          <w:fldChar w:fldCharType="begin"/>
        </w:r>
        <w:r w:rsidRPr="001F2F9B">
          <w:rPr>
            <w:noProof/>
            <w:webHidden/>
          </w:rPr>
          <w:instrText xml:space="preserve"> PAGEREF _Toc444176216 \h </w:instrText>
        </w:r>
        <w:r w:rsidRPr="001F2F9B">
          <w:rPr>
            <w:noProof/>
            <w:webHidden/>
          </w:rPr>
        </w:r>
        <w:r w:rsidRPr="001F2F9B">
          <w:rPr>
            <w:noProof/>
            <w:webHidden/>
          </w:rPr>
          <w:fldChar w:fldCharType="separate"/>
        </w:r>
        <w:r>
          <w:rPr>
            <w:noProof/>
            <w:webHidden/>
          </w:rPr>
          <w:t>688</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217" w:history="1">
        <w:r w:rsidRPr="001F2F9B">
          <w:rPr>
            <w:rStyle w:val="Hyperlink"/>
            <w:noProof/>
          </w:rPr>
          <w:t>3.2.3</w:t>
        </w:r>
        <w:r w:rsidRPr="001F2F9B">
          <w:rPr>
            <w:rFonts w:eastAsiaTheme="minorEastAsia"/>
            <w:noProof/>
            <w:lang w:eastAsia="en-GB"/>
          </w:rPr>
          <w:tab/>
        </w:r>
        <w:r w:rsidRPr="001F2F9B">
          <w:rPr>
            <w:rStyle w:val="Hyperlink"/>
            <w:noProof/>
          </w:rPr>
          <w:t>Operational aspects regarding international assistance</w:t>
        </w:r>
        <w:r w:rsidRPr="001F2F9B">
          <w:rPr>
            <w:noProof/>
            <w:webHidden/>
          </w:rPr>
          <w:tab/>
        </w:r>
        <w:r w:rsidRPr="001F2F9B">
          <w:rPr>
            <w:noProof/>
            <w:webHidden/>
          </w:rPr>
          <w:fldChar w:fldCharType="begin"/>
        </w:r>
        <w:r w:rsidRPr="001F2F9B">
          <w:rPr>
            <w:noProof/>
            <w:webHidden/>
          </w:rPr>
          <w:instrText xml:space="preserve"> PAGEREF _Toc444176217 \h </w:instrText>
        </w:r>
        <w:r w:rsidRPr="001F2F9B">
          <w:rPr>
            <w:noProof/>
            <w:webHidden/>
          </w:rPr>
        </w:r>
        <w:r w:rsidRPr="001F2F9B">
          <w:rPr>
            <w:noProof/>
            <w:webHidden/>
          </w:rPr>
          <w:fldChar w:fldCharType="separate"/>
        </w:r>
        <w:r>
          <w:rPr>
            <w:noProof/>
            <w:webHidden/>
          </w:rPr>
          <w:t>690</w:t>
        </w:r>
        <w:r w:rsidRPr="001F2F9B">
          <w:rPr>
            <w:noProof/>
            <w:webHidden/>
          </w:rPr>
          <w:fldChar w:fldCharType="end"/>
        </w:r>
      </w:hyperlink>
    </w:p>
    <w:p w:rsidR="00CA1321" w:rsidRPr="001F2F9B" w:rsidRDefault="00CA1321" w:rsidP="00CA1321">
      <w:pPr>
        <w:pStyle w:val="Verzeichnis1"/>
        <w:rPr>
          <w:rFonts w:eastAsiaTheme="minorEastAsia"/>
          <w:b/>
          <w:noProof/>
          <w:lang w:eastAsia="en-GB"/>
        </w:rPr>
      </w:pPr>
      <w:hyperlink w:anchor="_Toc444176218" w:history="1">
        <w:r w:rsidRPr="001F2F9B">
          <w:rPr>
            <w:rStyle w:val="Hyperlink"/>
            <w:rFonts w:cs="Times New Roman"/>
            <w:noProof/>
          </w:rPr>
          <w:t>4</w:t>
        </w:r>
        <w:r w:rsidRPr="001F2F9B">
          <w:rPr>
            <w:rFonts w:eastAsiaTheme="minorEastAsia"/>
            <w:noProof/>
            <w:lang w:eastAsia="en-GB"/>
          </w:rPr>
          <w:tab/>
        </w:r>
        <w:r w:rsidRPr="001F2F9B">
          <w:rPr>
            <w:rStyle w:val="Hyperlink"/>
            <w:noProof/>
          </w:rPr>
          <w:t>Procedures</w:t>
        </w:r>
        <w:r w:rsidRPr="001F2F9B">
          <w:rPr>
            <w:noProof/>
            <w:webHidden/>
          </w:rPr>
          <w:tab/>
        </w:r>
        <w:r w:rsidRPr="001F2F9B">
          <w:rPr>
            <w:noProof/>
            <w:webHidden/>
          </w:rPr>
          <w:fldChar w:fldCharType="begin"/>
        </w:r>
        <w:r w:rsidRPr="001F2F9B">
          <w:rPr>
            <w:noProof/>
            <w:webHidden/>
          </w:rPr>
          <w:instrText xml:space="preserve"> PAGEREF _Toc444176218 \h </w:instrText>
        </w:r>
        <w:r w:rsidRPr="001F2F9B">
          <w:rPr>
            <w:noProof/>
            <w:webHidden/>
          </w:rPr>
        </w:r>
        <w:r w:rsidRPr="001F2F9B">
          <w:rPr>
            <w:noProof/>
            <w:webHidden/>
          </w:rPr>
          <w:fldChar w:fldCharType="separate"/>
        </w:r>
        <w:r>
          <w:rPr>
            <w:noProof/>
            <w:webHidden/>
          </w:rPr>
          <w:t>693</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19" w:history="1">
        <w:r w:rsidRPr="001F2F9B">
          <w:rPr>
            <w:rStyle w:val="Hyperlink"/>
            <w:noProof/>
          </w:rPr>
          <w:t>4.1</w:t>
        </w:r>
        <w:r w:rsidRPr="001F2F9B">
          <w:rPr>
            <w:rFonts w:eastAsiaTheme="minorEastAsia"/>
            <w:noProof/>
            <w:lang w:eastAsia="en-GB"/>
          </w:rPr>
          <w:tab/>
        </w:r>
        <w:r w:rsidRPr="001F2F9B">
          <w:rPr>
            <w:rStyle w:val="Hyperlink"/>
            <w:noProof/>
          </w:rPr>
          <w:t>Standing Operating Procedures (SOPs) and Guidelines</w:t>
        </w:r>
        <w:r w:rsidRPr="001F2F9B">
          <w:rPr>
            <w:noProof/>
            <w:webHidden/>
          </w:rPr>
          <w:tab/>
        </w:r>
        <w:r w:rsidRPr="001F2F9B">
          <w:rPr>
            <w:noProof/>
            <w:webHidden/>
          </w:rPr>
          <w:fldChar w:fldCharType="begin"/>
        </w:r>
        <w:r w:rsidRPr="001F2F9B">
          <w:rPr>
            <w:noProof/>
            <w:webHidden/>
          </w:rPr>
          <w:instrText xml:space="preserve"> PAGEREF _Toc444176219 \h </w:instrText>
        </w:r>
        <w:r w:rsidRPr="001F2F9B">
          <w:rPr>
            <w:noProof/>
            <w:webHidden/>
          </w:rPr>
        </w:r>
        <w:r w:rsidRPr="001F2F9B">
          <w:rPr>
            <w:noProof/>
            <w:webHidden/>
          </w:rPr>
          <w:fldChar w:fldCharType="separate"/>
        </w:r>
        <w:r>
          <w:rPr>
            <w:noProof/>
            <w:webHidden/>
          </w:rPr>
          <w:t>693</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20" w:history="1">
        <w:r w:rsidRPr="001F2F9B">
          <w:rPr>
            <w:rStyle w:val="Hyperlink"/>
            <w:noProof/>
          </w:rPr>
          <w:t>4.2</w:t>
        </w:r>
        <w:r w:rsidRPr="001F2F9B">
          <w:rPr>
            <w:rFonts w:eastAsiaTheme="minorEastAsia"/>
            <w:noProof/>
            <w:lang w:eastAsia="en-GB"/>
          </w:rPr>
          <w:tab/>
        </w:r>
        <w:r w:rsidRPr="001F2F9B">
          <w:rPr>
            <w:rStyle w:val="Hyperlink"/>
            <w:noProof/>
          </w:rPr>
          <w:t>Operations planning</w:t>
        </w:r>
        <w:r w:rsidRPr="001F2F9B">
          <w:rPr>
            <w:noProof/>
            <w:webHidden/>
          </w:rPr>
          <w:tab/>
        </w:r>
        <w:r w:rsidRPr="001F2F9B">
          <w:rPr>
            <w:noProof/>
            <w:webHidden/>
          </w:rPr>
          <w:fldChar w:fldCharType="begin"/>
        </w:r>
        <w:r w:rsidRPr="001F2F9B">
          <w:rPr>
            <w:noProof/>
            <w:webHidden/>
          </w:rPr>
          <w:instrText xml:space="preserve"> PAGEREF _Toc444176220 \h </w:instrText>
        </w:r>
        <w:r w:rsidRPr="001F2F9B">
          <w:rPr>
            <w:noProof/>
            <w:webHidden/>
          </w:rPr>
        </w:r>
        <w:r w:rsidRPr="001F2F9B">
          <w:rPr>
            <w:noProof/>
            <w:webHidden/>
          </w:rPr>
          <w:fldChar w:fldCharType="separate"/>
        </w:r>
        <w:r>
          <w:rPr>
            <w:noProof/>
            <w:webHidden/>
          </w:rPr>
          <w:t>693</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21" w:history="1">
        <w:r w:rsidRPr="001F2F9B">
          <w:rPr>
            <w:rStyle w:val="Hyperlink"/>
            <w:rFonts w:cs="Times New Roman"/>
            <w:noProof/>
          </w:rPr>
          <w:t>4.3</w:t>
        </w:r>
        <w:r w:rsidRPr="001F2F9B">
          <w:rPr>
            <w:rFonts w:eastAsiaTheme="minorEastAsia"/>
            <w:noProof/>
            <w:lang w:eastAsia="en-GB"/>
          </w:rPr>
          <w:tab/>
        </w:r>
        <w:r w:rsidRPr="001F2F9B">
          <w:rPr>
            <w:rStyle w:val="Hyperlink"/>
            <w:noProof/>
          </w:rPr>
          <w:t>Logistics support in crises</w:t>
        </w:r>
        <w:r w:rsidRPr="001F2F9B">
          <w:rPr>
            <w:noProof/>
            <w:webHidden/>
          </w:rPr>
          <w:tab/>
        </w:r>
        <w:r w:rsidRPr="001F2F9B">
          <w:rPr>
            <w:noProof/>
            <w:webHidden/>
          </w:rPr>
          <w:fldChar w:fldCharType="begin"/>
        </w:r>
        <w:r w:rsidRPr="001F2F9B">
          <w:rPr>
            <w:noProof/>
            <w:webHidden/>
          </w:rPr>
          <w:instrText xml:space="preserve"> PAGEREF _Toc444176221 \h </w:instrText>
        </w:r>
        <w:r w:rsidRPr="001F2F9B">
          <w:rPr>
            <w:noProof/>
            <w:webHidden/>
          </w:rPr>
        </w:r>
        <w:r w:rsidRPr="001F2F9B">
          <w:rPr>
            <w:noProof/>
            <w:webHidden/>
          </w:rPr>
          <w:fldChar w:fldCharType="separate"/>
        </w:r>
        <w:r>
          <w:rPr>
            <w:noProof/>
            <w:webHidden/>
          </w:rPr>
          <w:t>694</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22" w:history="1">
        <w:r w:rsidRPr="001F2F9B">
          <w:rPr>
            <w:rStyle w:val="Hyperlink"/>
            <w:noProof/>
          </w:rPr>
          <w:t>4.4</w:t>
        </w:r>
        <w:r w:rsidRPr="001F2F9B">
          <w:rPr>
            <w:rFonts w:eastAsiaTheme="minorEastAsia"/>
            <w:noProof/>
            <w:lang w:eastAsia="en-GB"/>
          </w:rPr>
          <w:tab/>
        </w:r>
        <w:r w:rsidRPr="001F2F9B">
          <w:rPr>
            <w:rStyle w:val="Hyperlink"/>
            <w:noProof/>
          </w:rPr>
          <w:t>Crisis communication to general public; Alert system; Public Information and Warnings</w:t>
        </w:r>
        <w:r w:rsidRPr="001F2F9B">
          <w:rPr>
            <w:noProof/>
            <w:webHidden/>
          </w:rPr>
          <w:tab/>
        </w:r>
        <w:r w:rsidRPr="001F2F9B">
          <w:rPr>
            <w:noProof/>
            <w:webHidden/>
          </w:rPr>
          <w:fldChar w:fldCharType="begin"/>
        </w:r>
        <w:r w:rsidRPr="001F2F9B">
          <w:rPr>
            <w:noProof/>
            <w:webHidden/>
          </w:rPr>
          <w:instrText xml:space="preserve"> PAGEREF _Toc444176222 \h </w:instrText>
        </w:r>
        <w:r w:rsidRPr="001F2F9B">
          <w:rPr>
            <w:noProof/>
            <w:webHidden/>
          </w:rPr>
        </w:r>
        <w:r w:rsidRPr="001F2F9B">
          <w:rPr>
            <w:noProof/>
            <w:webHidden/>
          </w:rPr>
          <w:fldChar w:fldCharType="separate"/>
        </w:r>
        <w:r>
          <w:rPr>
            <w:noProof/>
            <w:webHidden/>
          </w:rPr>
          <w:t>695</w:t>
        </w:r>
        <w:r w:rsidRPr="001F2F9B">
          <w:rPr>
            <w:noProof/>
            <w:webHidden/>
          </w:rPr>
          <w:fldChar w:fldCharType="end"/>
        </w:r>
      </w:hyperlink>
    </w:p>
    <w:p w:rsidR="00CA1321" w:rsidRPr="001F2F9B" w:rsidRDefault="00CA1321" w:rsidP="00CA1321">
      <w:pPr>
        <w:pStyle w:val="Verzeichnis1"/>
        <w:rPr>
          <w:rFonts w:eastAsiaTheme="minorEastAsia"/>
          <w:b/>
          <w:noProof/>
          <w:lang w:eastAsia="en-GB"/>
        </w:rPr>
      </w:pPr>
      <w:hyperlink w:anchor="_Toc444176223" w:history="1">
        <w:r w:rsidRPr="001F2F9B">
          <w:rPr>
            <w:rStyle w:val="Hyperlink"/>
            <w:noProof/>
          </w:rPr>
          <w:t>5</w:t>
        </w:r>
        <w:r w:rsidRPr="001F2F9B">
          <w:rPr>
            <w:rFonts w:eastAsiaTheme="minorEastAsia"/>
            <w:noProof/>
            <w:lang w:eastAsia="en-GB"/>
          </w:rPr>
          <w:tab/>
        </w:r>
        <w:r w:rsidRPr="001F2F9B">
          <w:rPr>
            <w:rStyle w:val="Hyperlink"/>
            <w:noProof/>
          </w:rPr>
          <w:t>Capabilities</w:t>
        </w:r>
        <w:r w:rsidRPr="001F2F9B">
          <w:rPr>
            <w:noProof/>
            <w:webHidden/>
          </w:rPr>
          <w:tab/>
        </w:r>
        <w:r w:rsidRPr="001F2F9B">
          <w:rPr>
            <w:noProof/>
            <w:webHidden/>
          </w:rPr>
          <w:fldChar w:fldCharType="begin"/>
        </w:r>
        <w:r w:rsidRPr="001F2F9B">
          <w:rPr>
            <w:noProof/>
            <w:webHidden/>
          </w:rPr>
          <w:instrText xml:space="preserve"> PAGEREF _Toc444176223 \h </w:instrText>
        </w:r>
        <w:r w:rsidRPr="001F2F9B">
          <w:rPr>
            <w:noProof/>
            <w:webHidden/>
          </w:rPr>
        </w:r>
        <w:r w:rsidRPr="001F2F9B">
          <w:rPr>
            <w:noProof/>
            <w:webHidden/>
          </w:rPr>
          <w:fldChar w:fldCharType="separate"/>
        </w:r>
        <w:r>
          <w:rPr>
            <w:noProof/>
            <w:webHidden/>
          </w:rPr>
          <w:t>697</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24" w:history="1">
        <w:r w:rsidRPr="001F2F9B">
          <w:rPr>
            <w:rStyle w:val="Hyperlink"/>
            <w:noProof/>
          </w:rPr>
          <w:t>5.1</w:t>
        </w:r>
        <w:r w:rsidRPr="001F2F9B">
          <w:rPr>
            <w:rFonts w:eastAsiaTheme="minorEastAsia"/>
            <w:noProof/>
            <w:lang w:eastAsia="en-GB"/>
          </w:rPr>
          <w:tab/>
        </w:r>
        <w:r w:rsidRPr="001F2F9B">
          <w:rPr>
            <w:rStyle w:val="Hyperlink"/>
            <w:noProof/>
          </w:rPr>
          <w:t>Human resources</w:t>
        </w:r>
        <w:r w:rsidRPr="001F2F9B">
          <w:rPr>
            <w:noProof/>
            <w:webHidden/>
          </w:rPr>
          <w:tab/>
        </w:r>
        <w:r w:rsidRPr="001F2F9B">
          <w:rPr>
            <w:noProof/>
            <w:webHidden/>
          </w:rPr>
          <w:fldChar w:fldCharType="begin"/>
        </w:r>
        <w:r w:rsidRPr="001F2F9B">
          <w:rPr>
            <w:noProof/>
            <w:webHidden/>
          </w:rPr>
          <w:instrText xml:space="preserve"> PAGEREF _Toc444176224 \h </w:instrText>
        </w:r>
        <w:r w:rsidRPr="001F2F9B">
          <w:rPr>
            <w:noProof/>
            <w:webHidden/>
          </w:rPr>
        </w:r>
        <w:r w:rsidRPr="001F2F9B">
          <w:rPr>
            <w:noProof/>
            <w:webHidden/>
          </w:rPr>
          <w:fldChar w:fldCharType="separate"/>
        </w:r>
        <w:r>
          <w:rPr>
            <w:noProof/>
            <w:webHidden/>
          </w:rPr>
          <w:t>697</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25" w:history="1">
        <w:r w:rsidRPr="001F2F9B">
          <w:rPr>
            <w:rStyle w:val="Hyperlink"/>
            <w:noProof/>
          </w:rPr>
          <w:t>5.2</w:t>
        </w:r>
        <w:r w:rsidRPr="001F2F9B">
          <w:rPr>
            <w:rFonts w:eastAsiaTheme="minorEastAsia"/>
            <w:noProof/>
            <w:lang w:eastAsia="en-GB"/>
          </w:rPr>
          <w:tab/>
        </w:r>
        <w:r w:rsidRPr="001F2F9B">
          <w:rPr>
            <w:rStyle w:val="Hyperlink"/>
            <w:noProof/>
          </w:rPr>
          <w:t>Materiel (non-financial) resources</w:t>
        </w:r>
        <w:r w:rsidRPr="001F2F9B">
          <w:rPr>
            <w:noProof/>
            <w:webHidden/>
          </w:rPr>
          <w:tab/>
        </w:r>
        <w:r w:rsidRPr="001F2F9B">
          <w:rPr>
            <w:noProof/>
            <w:webHidden/>
          </w:rPr>
          <w:fldChar w:fldCharType="begin"/>
        </w:r>
        <w:r w:rsidRPr="001F2F9B">
          <w:rPr>
            <w:noProof/>
            <w:webHidden/>
          </w:rPr>
          <w:instrText xml:space="preserve"> PAGEREF _Toc444176225 \h </w:instrText>
        </w:r>
        <w:r w:rsidRPr="001F2F9B">
          <w:rPr>
            <w:noProof/>
            <w:webHidden/>
          </w:rPr>
        </w:r>
        <w:r w:rsidRPr="001F2F9B">
          <w:rPr>
            <w:noProof/>
            <w:webHidden/>
          </w:rPr>
          <w:fldChar w:fldCharType="separate"/>
        </w:r>
        <w:r>
          <w:rPr>
            <w:noProof/>
            <w:webHidden/>
          </w:rPr>
          <w:t>698</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26" w:history="1">
        <w:r w:rsidRPr="001F2F9B">
          <w:rPr>
            <w:rStyle w:val="Hyperlink"/>
            <w:noProof/>
          </w:rPr>
          <w:t>5.3</w:t>
        </w:r>
        <w:r w:rsidRPr="001F2F9B">
          <w:rPr>
            <w:rFonts w:eastAsiaTheme="minorEastAsia"/>
            <w:noProof/>
            <w:lang w:eastAsia="en-GB"/>
          </w:rPr>
          <w:tab/>
        </w:r>
        <w:r w:rsidRPr="001F2F9B">
          <w:rPr>
            <w:rStyle w:val="Hyperlink"/>
            <w:noProof/>
          </w:rPr>
          <w:t>Training</w:t>
        </w:r>
        <w:r w:rsidRPr="001F2F9B">
          <w:rPr>
            <w:noProof/>
            <w:webHidden/>
          </w:rPr>
          <w:tab/>
        </w:r>
        <w:r w:rsidRPr="001F2F9B">
          <w:rPr>
            <w:noProof/>
            <w:webHidden/>
          </w:rPr>
          <w:fldChar w:fldCharType="begin"/>
        </w:r>
        <w:r w:rsidRPr="001F2F9B">
          <w:rPr>
            <w:noProof/>
            <w:webHidden/>
          </w:rPr>
          <w:instrText xml:space="preserve"> PAGEREF _Toc444176226 \h </w:instrText>
        </w:r>
        <w:r w:rsidRPr="001F2F9B">
          <w:rPr>
            <w:noProof/>
            <w:webHidden/>
          </w:rPr>
        </w:r>
        <w:r w:rsidRPr="001F2F9B">
          <w:rPr>
            <w:noProof/>
            <w:webHidden/>
          </w:rPr>
          <w:fldChar w:fldCharType="separate"/>
        </w:r>
        <w:r>
          <w:rPr>
            <w:noProof/>
            <w:webHidden/>
          </w:rPr>
          <w:t>698</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27" w:history="1">
        <w:r w:rsidRPr="001F2F9B">
          <w:rPr>
            <w:rStyle w:val="Hyperlink"/>
            <w:noProof/>
          </w:rPr>
          <w:t>5.4</w:t>
        </w:r>
        <w:r w:rsidRPr="001F2F9B">
          <w:rPr>
            <w:rFonts w:eastAsiaTheme="minorEastAsia"/>
            <w:noProof/>
            <w:lang w:eastAsia="en-GB"/>
          </w:rPr>
          <w:tab/>
        </w:r>
        <w:r w:rsidRPr="001F2F9B">
          <w:rPr>
            <w:rStyle w:val="Hyperlink"/>
            <w:noProof/>
          </w:rPr>
          <w:t>Procurement</w:t>
        </w:r>
        <w:r w:rsidRPr="001F2F9B">
          <w:rPr>
            <w:noProof/>
            <w:webHidden/>
          </w:rPr>
          <w:tab/>
        </w:r>
        <w:r w:rsidRPr="001F2F9B">
          <w:rPr>
            <w:noProof/>
            <w:webHidden/>
          </w:rPr>
          <w:fldChar w:fldCharType="begin"/>
        </w:r>
        <w:r w:rsidRPr="001F2F9B">
          <w:rPr>
            <w:noProof/>
            <w:webHidden/>
          </w:rPr>
          <w:instrText xml:space="preserve"> PAGEREF _Toc444176227 \h </w:instrText>
        </w:r>
        <w:r w:rsidRPr="001F2F9B">
          <w:rPr>
            <w:noProof/>
            <w:webHidden/>
          </w:rPr>
        </w:r>
        <w:r w:rsidRPr="001F2F9B">
          <w:rPr>
            <w:noProof/>
            <w:webHidden/>
          </w:rPr>
          <w:fldChar w:fldCharType="separate"/>
        </w:r>
        <w:r>
          <w:rPr>
            <w:noProof/>
            <w:webHidden/>
          </w:rPr>
          <w:t>700</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228" w:history="1">
        <w:r w:rsidRPr="001F2F9B">
          <w:rPr>
            <w:rStyle w:val="Hyperlink"/>
            <w:noProof/>
          </w:rPr>
          <w:t>5.4.1</w:t>
        </w:r>
        <w:r w:rsidRPr="001F2F9B">
          <w:rPr>
            <w:rFonts w:eastAsiaTheme="minorEastAsia"/>
            <w:noProof/>
            <w:lang w:eastAsia="en-GB"/>
          </w:rPr>
          <w:tab/>
        </w:r>
        <w:r w:rsidRPr="001F2F9B">
          <w:rPr>
            <w:rStyle w:val="Hyperlink"/>
            <w:noProof/>
          </w:rPr>
          <w:t>Procurement regulation</w:t>
        </w:r>
        <w:r w:rsidRPr="001F2F9B">
          <w:rPr>
            <w:noProof/>
            <w:webHidden/>
          </w:rPr>
          <w:tab/>
        </w:r>
        <w:r w:rsidRPr="001F2F9B">
          <w:rPr>
            <w:noProof/>
            <w:webHidden/>
          </w:rPr>
          <w:fldChar w:fldCharType="begin"/>
        </w:r>
        <w:r w:rsidRPr="001F2F9B">
          <w:rPr>
            <w:noProof/>
            <w:webHidden/>
          </w:rPr>
          <w:instrText xml:space="preserve"> PAGEREF _Toc444176228 \h </w:instrText>
        </w:r>
        <w:r w:rsidRPr="001F2F9B">
          <w:rPr>
            <w:noProof/>
            <w:webHidden/>
          </w:rPr>
        </w:r>
        <w:r w:rsidRPr="001F2F9B">
          <w:rPr>
            <w:noProof/>
            <w:webHidden/>
          </w:rPr>
          <w:fldChar w:fldCharType="separate"/>
        </w:r>
        <w:r>
          <w:rPr>
            <w:noProof/>
            <w:webHidden/>
          </w:rPr>
          <w:t>700</w:t>
        </w:r>
        <w:r w:rsidRPr="001F2F9B">
          <w:rPr>
            <w:noProof/>
            <w:webHidden/>
          </w:rPr>
          <w:fldChar w:fldCharType="end"/>
        </w:r>
      </w:hyperlink>
    </w:p>
    <w:p w:rsidR="00CA1321" w:rsidRPr="001F2F9B" w:rsidRDefault="00CA1321" w:rsidP="00CA1321">
      <w:pPr>
        <w:pStyle w:val="Verzeichnis3"/>
        <w:tabs>
          <w:tab w:val="left" w:pos="1100"/>
          <w:tab w:val="right" w:leader="dot" w:pos="9062"/>
        </w:tabs>
        <w:rPr>
          <w:rFonts w:eastAsiaTheme="minorEastAsia"/>
          <w:noProof/>
          <w:lang w:eastAsia="en-GB"/>
        </w:rPr>
      </w:pPr>
      <w:hyperlink w:anchor="_Toc444176229" w:history="1">
        <w:r w:rsidRPr="001F2F9B">
          <w:rPr>
            <w:rStyle w:val="Hyperlink"/>
            <w:noProof/>
          </w:rPr>
          <w:t>5.4.2</w:t>
        </w:r>
        <w:r w:rsidRPr="001F2F9B">
          <w:rPr>
            <w:rFonts w:eastAsiaTheme="minorEastAsia"/>
            <w:noProof/>
            <w:lang w:eastAsia="en-GB"/>
          </w:rPr>
          <w:tab/>
        </w:r>
        <w:r w:rsidRPr="001F2F9B">
          <w:rPr>
            <w:rStyle w:val="Hyperlink"/>
            <w:noProof/>
          </w:rPr>
          <w:t>Procurement procedures</w:t>
        </w:r>
        <w:r w:rsidRPr="001F2F9B">
          <w:rPr>
            <w:noProof/>
            <w:webHidden/>
          </w:rPr>
          <w:tab/>
        </w:r>
        <w:r w:rsidRPr="001F2F9B">
          <w:rPr>
            <w:noProof/>
            <w:webHidden/>
          </w:rPr>
          <w:fldChar w:fldCharType="begin"/>
        </w:r>
        <w:r w:rsidRPr="001F2F9B">
          <w:rPr>
            <w:noProof/>
            <w:webHidden/>
          </w:rPr>
          <w:instrText xml:space="preserve"> PAGEREF _Toc444176229 \h </w:instrText>
        </w:r>
        <w:r w:rsidRPr="001F2F9B">
          <w:rPr>
            <w:noProof/>
            <w:webHidden/>
          </w:rPr>
        </w:r>
        <w:r w:rsidRPr="001F2F9B">
          <w:rPr>
            <w:noProof/>
            <w:webHidden/>
          </w:rPr>
          <w:fldChar w:fldCharType="separate"/>
        </w:r>
        <w:r>
          <w:rPr>
            <w:noProof/>
            <w:webHidden/>
          </w:rPr>
          <w:t>701</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30" w:history="1">
        <w:r w:rsidRPr="001F2F9B">
          <w:rPr>
            <w:rStyle w:val="Hyperlink"/>
            <w:noProof/>
          </w:rPr>
          <w:t>5.5</w:t>
        </w:r>
        <w:r w:rsidRPr="001F2F9B">
          <w:rPr>
            <w:rFonts w:eastAsiaTheme="minorEastAsia"/>
            <w:noProof/>
            <w:lang w:eastAsia="en-GB"/>
          </w:rPr>
          <w:tab/>
        </w:r>
        <w:r w:rsidRPr="001F2F9B">
          <w:rPr>
            <w:rStyle w:val="Hyperlink"/>
            <w:noProof/>
          </w:rPr>
          <w:t>Niche capabilities</w:t>
        </w:r>
        <w:r w:rsidRPr="001F2F9B">
          <w:rPr>
            <w:noProof/>
            <w:webHidden/>
          </w:rPr>
          <w:tab/>
        </w:r>
        <w:r w:rsidRPr="001F2F9B">
          <w:rPr>
            <w:noProof/>
            <w:webHidden/>
          </w:rPr>
          <w:fldChar w:fldCharType="begin"/>
        </w:r>
        <w:r w:rsidRPr="001F2F9B">
          <w:rPr>
            <w:noProof/>
            <w:webHidden/>
          </w:rPr>
          <w:instrText xml:space="preserve"> PAGEREF _Toc444176230 \h </w:instrText>
        </w:r>
        <w:r w:rsidRPr="001F2F9B">
          <w:rPr>
            <w:noProof/>
            <w:webHidden/>
          </w:rPr>
        </w:r>
        <w:r w:rsidRPr="001F2F9B">
          <w:rPr>
            <w:noProof/>
            <w:webHidden/>
          </w:rPr>
          <w:fldChar w:fldCharType="separate"/>
        </w:r>
        <w:r>
          <w:rPr>
            <w:noProof/>
            <w:webHidden/>
          </w:rPr>
          <w:t>701</w:t>
        </w:r>
        <w:r w:rsidRPr="001F2F9B">
          <w:rPr>
            <w:noProof/>
            <w:webHidden/>
          </w:rPr>
          <w:fldChar w:fldCharType="end"/>
        </w:r>
      </w:hyperlink>
    </w:p>
    <w:p w:rsidR="00CA1321" w:rsidRPr="001F2F9B" w:rsidRDefault="00CA1321" w:rsidP="00CA1321">
      <w:pPr>
        <w:pStyle w:val="Verzeichnis1"/>
        <w:rPr>
          <w:rFonts w:eastAsiaTheme="minorEastAsia"/>
          <w:b/>
          <w:noProof/>
          <w:lang w:eastAsia="en-GB"/>
        </w:rPr>
      </w:pPr>
      <w:hyperlink w:anchor="_Toc444176231" w:history="1">
        <w:r w:rsidRPr="001F2F9B">
          <w:rPr>
            <w:rStyle w:val="Hyperlink"/>
            <w:noProof/>
          </w:rPr>
          <w:t>Resources</w:t>
        </w:r>
        <w:r w:rsidRPr="001F2F9B">
          <w:rPr>
            <w:noProof/>
            <w:webHidden/>
          </w:rPr>
          <w:tab/>
        </w:r>
        <w:r w:rsidRPr="001F2F9B">
          <w:rPr>
            <w:noProof/>
            <w:webHidden/>
          </w:rPr>
          <w:fldChar w:fldCharType="begin"/>
        </w:r>
        <w:r w:rsidRPr="001F2F9B">
          <w:rPr>
            <w:noProof/>
            <w:webHidden/>
          </w:rPr>
          <w:instrText xml:space="preserve"> PAGEREF _Toc444176231 \h </w:instrText>
        </w:r>
        <w:r w:rsidRPr="001F2F9B">
          <w:rPr>
            <w:noProof/>
            <w:webHidden/>
          </w:rPr>
        </w:r>
        <w:r w:rsidRPr="001F2F9B">
          <w:rPr>
            <w:noProof/>
            <w:webHidden/>
          </w:rPr>
          <w:fldChar w:fldCharType="separate"/>
        </w:r>
        <w:r>
          <w:rPr>
            <w:noProof/>
            <w:webHidden/>
          </w:rPr>
          <w:t>702</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32" w:history="1">
        <w:r w:rsidRPr="001F2F9B">
          <w:rPr>
            <w:rStyle w:val="Hyperlink"/>
            <w:noProof/>
          </w:rPr>
          <w:t>Legislative acts</w:t>
        </w:r>
        <w:r w:rsidRPr="001F2F9B">
          <w:rPr>
            <w:noProof/>
            <w:webHidden/>
          </w:rPr>
          <w:tab/>
        </w:r>
        <w:r w:rsidRPr="001F2F9B">
          <w:rPr>
            <w:noProof/>
            <w:webHidden/>
          </w:rPr>
          <w:fldChar w:fldCharType="begin"/>
        </w:r>
        <w:r w:rsidRPr="001F2F9B">
          <w:rPr>
            <w:noProof/>
            <w:webHidden/>
          </w:rPr>
          <w:instrText xml:space="preserve"> PAGEREF _Toc444176232 \h </w:instrText>
        </w:r>
        <w:r w:rsidRPr="001F2F9B">
          <w:rPr>
            <w:noProof/>
            <w:webHidden/>
          </w:rPr>
        </w:r>
        <w:r w:rsidRPr="001F2F9B">
          <w:rPr>
            <w:noProof/>
            <w:webHidden/>
          </w:rPr>
          <w:fldChar w:fldCharType="separate"/>
        </w:r>
        <w:r>
          <w:rPr>
            <w:noProof/>
            <w:webHidden/>
          </w:rPr>
          <w:t>702</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33" w:history="1">
        <w:r w:rsidRPr="001F2F9B">
          <w:rPr>
            <w:rStyle w:val="Hyperlink"/>
            <w:noProof/>
          </w:rPr>
          <w:t>Other normative acts</w:t>
        </w:r>
        <w:r w:rsidRPr="001F2F9B">
          <w:rPr>
            <w:noProof/>
            <w:webHidden/>
          </w:rPr>
          <w:tab/>
        </w:r>
        <w:r w:rsidRPr="001F2F9B">
          <w:rPr>
            <w:noProof/>
            <w:webHidden/>
          </w:rPr>
          <w:fldChar w:fldCharType="begin"/>
        </w:r>
        <w:r w:rsidRPr="001F2F9B">
          <w:rPr>
            <w:noProof/>
            <w:webHidden/>
          </w:rPr>
          <w:instrText xml:space="preserve"> PAGEREF _Toc444176233 \h </w:instrText>
        </w:r>
        <w:r w:rsidRPr="001F2F9B">
          <w:rPr>
            <w:noProof/>
            <w:webHidden/>
          </w:rPr>
        </w:r>
        <w:r w:rsidRPr="001F2F9B">
          <w:rPr>
            <w:noProof/>
            <w:webHidden/>
          </w:rPr>
          <w:fldChar w:fldCharType="separate"/>
        </w:r>
        <w:r>
          <w:rPr>
            <w:noProof/>
            <w:webHidden/>
          </w:rPr>
          <w:t>704</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34" w:history="1">
        <w:r w:rsidRPr="001F2F9B">
          <w:rPr>
            <w:rStyle w:val="Hyperlink"/>
            <w:noProof/>
          </w:rPr>
          <w:t>Official documents (white papers, strategies, etc.)</w:t>
        </w:r>
        <w:r w:rsidRPr="001F2F9B">
          <w:rPr>
            <w:noProof/>
            <w:webHidden/>
          </w:rPr>
          <w:tab/>
        </w:r>
        <w:r w:rsidRPr="001F2F9B">
          <w:rPr>
            <w:noProof/>
            <w:webHidden/>
          </w:rPr>
          <w:fldChar w:fldCharType="begin"/>
        </w:r>
        <w:r w:rsidRPr="001F2F9B">
          <w:rPr>
            <w:noProof/>
            <w:webHidden/>
          </w:rPr>
          <w:instrText xml:space="preserve"> PAGEREF _Toc444176234 \h </w:instrText>
        </w:r>
        <w:r w:rsidRPr="001F2F9B">
          <w:rPr>
            <w:noProof/>
            <w:webHidden/>
          </w:rPr>
        </w:r>
        <w:r w:rsidRPr="001F2F9B">
          <w:rPr>
            <w:noProof/>
            <w:webHidden/>
          </w:rPr>
          <w:fldChar w:fldCharType="separate"/>
        </w:r>
        <w:r>
          <w:rPr>
            <w:noProof/>
            <w:webHidden/>
          </w:rPr>
          <w:t>704</w:t>
        </w:r>
        <w:r w:rsidRPr="001F2F9B">
          <w:rPr>
            <w:noProof/>
            <w:webHidden/>
          </w:rPr>
          <w:fldChar w:fldCharType="end"/>
        </w:r>
      </w:hyperlink>
    </w:p>
    <w:p w:rsidR="00CA1321" w:rsidRPr="001F2F9B" w:rsidRDefault="00CA1321" w:rsidP="00CA1321">
      <w:pPr>
        <w:pStyle w:val="Verzeichnis2"/>
        <w:rPr>
          <w:rFonts w:eastAsiaTheme="minorEastAsia"/>
          <w:noProof/>
          <w:lang w:eastAsia="en-GB"/>
        </w:rPr>
      </w:pPr>
      <w:hyperlink w:anchor="_Toc444176235" w:history="1">
        <w:r w:rsidRPr="001F2F9B">
          <w:rPr>
            <w:rStyle w:val="Hyperlink"/>
            <w:noProof/>
          </w:rPr>
          <w:t>Online resources (e.g. websites of key CM organizations)</w:t>
        </w:r>
        <w:r w:rsidRPr="001F2F9B">
          <w:rPr>
            <w:noProof/>
            <w:webHidden/>
          </w:rPr>
          <w:tab/>
        </w:r>
        <w:r w:rsidRPr="001F2F9B">
          <w:rPr>
            <w:noProof/>
            <w:webHidden/>
          </w:rPr>
          <w:fldChar w:fldCharType="begin"/>
        </w:r>
        <w:r w:rsidRPr="001F2F9B">
          <w:rPr>
            <w:noProof/>
            <w:webHidden/>
          </w:rPr>
          <w:instrText xml:space="preserve"> PAGEREF _Toc444176235 \h </w:instrText>
        </w:r>
        <w:r w:rsidRPr="001F2F9B">
          <w:rPr>
            <w:noProof/>
            <w:webHidden/>
          </w:rPr>
        </w:r>
        <w:r w:rsidRPr="001F2F9B">
          <w:rPr>
            <w:noProof/>
            <w:webHidden/>
          </w:rPr>
          <w:fldChar w:fldCharType="separate"/>
        </w:r>
        <w:r>
          <w:rPr>
            <w:noProof/>
            <w:webHidden/>
          </w:rPr>
          <w:t>705</w:t>
        </w:r>
        <w:r w:rsidRPr="001F2F9B">
          <w:rPr>
            <w:noProof/>
            <w:webHidden/>
          </w:rPr>
          <w:fldChar w:fldCharType="end"/>
        </w:r>
      </w:hyperlink>
    </w:p>
    <w:p w:rsidR="00CA1321" w:rsidRPr="001F2F9B" w:rsidRDefault="00CA1321" w:rsidP="00CA1321">
      <w:pPr>
        <w:pStyle w:val="Verzeichnis2"/>
      </w:pPr>
      <w:hyperlink w:anchor="_Toc444176236" w:history="1">
        <w:r w:rsidRPr="001F2F9B">
          <w:rPr>
            <w:rStyle w:val="Hyperlink"/>
            <w:noProof/>
          </w:rPr>
          <w:t>Publications</w:t>
        </w:r>
        <w:r w:rsidRPr="001F2F9B">
          <w:rPr>
            <w:noProof/>
            <w:webHidden/>
          </w:rPr>
          <w:tab/>
        </w:r>
        <w:r w:rsidRPr="001F2F9B">
          <w:rPr>
            <w:noProof/>
            <w:webHidden/>
          </w:rPr>
          <w:fldChar w:fldCharType="begin"/>
        </w:r>
        <w:r w:rsidRPr="001F2F9B">
          <w:rPr>
            <w:noProof/>
            <w:webHidden/>
          </w:rPr>
          <w:instrText xml:space="preserve"> PAGEREF _Toc444176236 \h </w:instrText>
        </w:r>
        <w:r w:rsidRPr="001F2F9B">
          <w:rPr>
            <w:noProof/>
            <w:webHidden/>
          </w:rPr>
        </w:r>
        <w:r w:rsidRPr="001F2F9B">
          <w:rPr>
            <w:noProof/>
            <w:webHidden/>
          </w:rPr>
          <w:fldChar w:fldCharType="separate"/>
        </w:r>
        <w:r>
          <w:rPr>
            <w:noProof/>
            <w:webHidden/>
          </w:rPr>
          <w:t>706</w:t>
        </w:r>
        <w:r w:rsidRPr="001F2F9B">
          <w:rPr>
            <w:noProof/>
            <w:webHidden/>
          </w:rPr>
          <w:fldChar w:fldCharType="end"/>
        </w:r>
      </w:hyperlink>
      <w:r w:rsidRPr="001F2F9B">
        <w:rPr>
          <w:b/>
          <w:bCs/>
        </w:rPr>
        <w:fldChar w:fldCharType="end"/>
      </w:r>
      <w:r w:rsidRPr="001F2F9B">
        <w:fldChar w:fldCharType="begin"/>
      </w:r>
      <w:r w:rsidRPr="001F2F9B">
        <w:instrText xml:space="preserve">  </w:instrText>
      </w:r>
      <w:r w:rsidRPr="001F2F9B">
        <w:fldChar w:fldCharType="end"/>
      </w:r>
    </w:p>
    <w:p w:rsidR="00CA1321" w:rsidRPr="001F2F9B" w:rsidRDefault="00CA1321" w:rsidP="00CA1321">
      <w:pPr>
        <w:pStyle w:val="berschrift2"/>
        <w:numPr>
          <w:ilvl w:val="0"/>
          <w:numId w:val="0"/>
        </w:numPr>
        <w:spacing w:before="480"/>
        <w:rPr>
          <w:rFonts w:cs="Times New Roman"/>
          <w:lang w:val="en-GB"/>
        </w:rPr>
      </w:pPr>
      <w:bookmarkStart w:id="12" w:name="_Toc444087604"/>
      <w:bookmarkStart w:id="13" w:name="_Toc444176177"/>
      <w:bookmarkStart w:id="14" w:name="_Toc445378500"/>
      <w:r w:rsidRPr="001F2F9B">
        <w:rPr>
          <w:lang w:val="en-GB"/>
        </w:rPr>
        <w:lastRenderedPageBreak/>
        <w:t>List of Figures</w:t>
      </w:r>
      <w:bookmarkEnd w:id="12"/>
      <w:bookmarkEnd w:id="13"/>
      <w:bookmarkEnd w:id="14"/>
    </w:p>
    <w:p w:rsidR="00CA1321" w:rsidRPr="001F2F9B" w:rsidRDefault="00CA1321" w:rsidP="00CA1321">
      <w:pPr>
        <w:pStyle w:val="Abbildungsverzeichnis"/>
        <w:tabs>
          <w:tab w:val="right" w:leader="dot" w:pos="9060"/>
        </w:tabs>
        <w:rPr>
          <w:rFonts w:eastAsiaTheme="minorEastAsia"/>
          <w:noProof/>
          <w:lang w:eastAsia="en-GB"/>
        </w:rPr>
      </w:pPr>
      <w:r w:rsidRPr="001F2F9B">
        <w:fldChar w:fldCharType="begin"/>
      </w:r>
      <w:r w:rsidRPr="001F2F9B">
        <w:instrText xml:space="preserve"> TOC \h \z \c "Figure" </w:instrText>
      </w:r>
      <w:r w:rsidRPr="001F2F9B">
        <w:fldChar w:fldCharType="separate"/>
      </w:r>
      <w:hyperlink w:anchor="_Toc444089828" w:history="1">
        <w:r w:rsidRPr="001F2F9B">
          <w:rPr>
            <w:rStyle w:val="Hyperlink"/>
            <w:noProof/>
          </w:rPr>
          <w:t>Figure 1: Flow-chart of the HELCOM Monitoring and Assessment System described in the HELCOM Monitoring and Assessment Strategy</w:t>
        </w:r>
        <w:r w:rsidRPr="001F2F9B">
          <w:rPr>
            <w:noProof/>
            <w:webHidden/>
          </w:rPr>
          <w:tab/>
        </w:r>
        <w:r w:rsidRPr="001F2F9B">
          <w:rPr>
            <w:noProof/>
            <w:webHidden/>
          </w:rPr>
          <w:fldChar w:fldCharType="begin"/>
        </w:r>
        <w:r w:rsidRPr="001F2F9B">
          <w:rPr>
            <w:noProof/>
            <w:webHidden/>
          </w:rPr>
          <w:instrText xml:space="preserve"> PAGEREF _Toc444089828 \h </w:instrText>
        </w:r>
        <w:r w:rsidRPr="001F2F9B">
          <w:rPr>
            <w:noProof/>
            <w:webHidden/>
          </w:rPr>
        </w:r>
        <w:r w:rsidRPr="001F2F9B">
          <w:rPr>
            <w:noProof/>
            <w:webHidden/>
          </w:rPr>
          <w:fldChar w:fldCharType="separate"/>
        </w:r>
        <w:r>
          <w:rPr>
            <w:noProof/>
            <w:webHidden/>
          </w:rPr>
          <w:t>665</w:t>
        </w:r>
        <w:r w:rsidRPr="001F2F9B">
          <w:rPr>
            <w:noProof/>
            <w:webHidden/>
          </w:rPr>
          <w:fldChar w:fldCharType="end"/>
        </w:r>
      </w:hyperlink>
    </w:p>
    <w:p w:rsidR="00CA1321" w:rsidRPr="001F2F9B" w:rsidRDefault="00CA1321" w:rsidP="00CA1321">
      <w:pPr>
        <w:pStyle w:val="Abbildungsverzeichnis"/>
        <w:tabs>
          <w:tab w:val="right" w:leader="dot" w:pos="9060"/>
        </w:tabs>
        <w:rPr>
          <w:rFonts w:eastAsiaTheme="minorEastAsia"/>
          <w:noProof/>
          <w:lang w:eastAsia="en-GB"/>
        </w:rPr>
      </w:pPr>
      <w:hyperlink w:anchor="_Toc444089829" w:history="1">
        <w:r w:rsidRPr="001F2F9B">
          <w:rPr>
            <w:rStyle w:val="Hyperlink"/>
            <w:noProof/>
          </w:rPr>
          <w:t>Figure 2: Organisational Chart of the Crisis Management Structure of Finland</w:t>
        </w:r>
        <w:r w:rsidRPr="001F2F9B">
          <w:rPr>
            <w:noProof/>
            <w:webHidden/>
          </w:rPr>
          <w:tab/>
        </w:r>
        <w:r w:rsidRPr="001F2F9B">
          <w:rPr>
            <w:noProof/>
            <w:webHidden/>
          </w:rPr>
          <w:fldChar w:fldCharType="begin"/>
        </w:r>
        <w:r w:rsidRPr="001F2F9B">
          <w:rPr>
            <w:noProof/>
            <w:webHidden/>
          </w:rPr>
          <w:instrText xml:space="preserve"> PAGEREF _Toc444089829 \h </w:instrText>
        </w:r>
        <w:r w:rsidRPr="001F2F9B">
          <w:rPr>
            <w:noProof/>
            <w:webHidden/>
          </w:rPr>
        </w:r>
        <w:r w:rsidRPr="001F2F9B">
          <w:rPr>
            <w:noProof/>
            <w:webHidden/>
          </w:rPr>
          <w:fldChar w:fldCharType="separate"/>
        </w:r>
        <w:r>
          <w:rPr>
            <w:noProof/>
            <w:webHidden/>
          </w:rPr>
          <w:t>682</w:t>
        </w:r>
        <w:r w:rsidRPr="001F2F9B">
          <w:rPr>
            <w:noProof/>
            <w:webHidden/>
          </w:rPr>
          <w:fldChar w:fldCharType="end"/>
        </w:r>
      </w:hyperlink>
    </w:p>
    <w:p w:rsidR="00CA1321" w:rsidRPr="001F2F9B" w:rsidRDefault="00CA1321" w:rsidP="00CA1321">
      <w:pPr>
        <w:pStyle w:val="Abbildungsverzeichnis"/>
        <w:tabs>
          <w:tab w:val="right" w:leader="dot" w:pos="9060"/>
        </w:tabs>
        <w:rPr>
          <w:rFonts w:eastAsiaTheme="minorEastAsia"/>
          <w:noProof/>
          <w:lang w:eastAsia="en-GB"/>
        </w:rPr>
      </w:pPr>
      <w:hyperlink w:anchor="_Toc444089830" w:history="1">
        <w:r w:rsidRPr="001F2F9B">
          <w:rPr>
            <w:rStyle w:val="Hyperlink"/>
            <w:noProof/>
          </w:rPr>
          <w:t>Figure 3: The principle of the management of disturbances</w:t>
        </w:r>
        <w:r w:rsidRPr="001F2F9B">
          <w:rPr>
            <w:noProof/>
            <w:webHidden/>
          </w:rPr>
          <w:tab/>
        </w:r>
        <w:r w:rsidRPr="001F2F9B">
          <w:rPr>
            <w:noProof/>
            <w:webHidden/>
          </w:rPr>
          <w:fldChar w:fldCharType="begin"/>
        </w:r>
        <w:r w:rsidRPr="001F2F9B">
          <w:rPr>
            <w:noProof/>
            <w:webHidden/>
          </w:rPr>
          <w:instrText xml:space="preserve"> PAGEREF _Toc444089830 \h </w:instrText>
        </w:r>
        <w:r w:rsidRPr="001F2F9B">
          <w:rPr>
            <w:noProof/>
            <w:webHidden/>
          </w:rPr>
        </w:r>
        <w:r w:rsidRPr="001F2F9B">
          <w:rPr>
            <w:noProof/>
            <w:webHidden/>
          </w:rPr>
          <w:fldChar w:fldCharType="separate"/>
        </w:r>
        <w:r>
          <w:rPr>
            <w:noProof/>
            <w:webHidden/>
          </w:rPr>
          <w:t>683</w:t>
        </w:r>
        <w:r w:rsidRPr="001F2F9B">
          <w:rPr>
            <w:noProof/>
            <w:webHidden/>
          </w:rPr>
          <w:fldChar w:fldCharType="end"/>
        </w:r>
      </w:hyperlink>
    </w:p>
    <w:p w:rsidR="00CA1321" w:rsidRPr="001F2F9B" w:rsidRDefault="00CA1321" w:rsidP="00CA1321">
      <w:pPr>
        <w:pStyle w:val="Abbildungsverzeichnis"/>
        <w:tabs>
          <w:tab w:val="right" w:leader="dot" w:pos="9060"/>
        </w:tabs>
        <w:rPr>
          <w:rFonts w:eastAsiaTheme="minorEastAsia"/>
          <w:noProof/>
          <w:lang w:eastAsia="en-GB"/>
        </w:rPr>
      </w:pPr>
      <w:hyperlink w:anchor="_Toc444089831" w:history="1">
        <w:r w:rsidRPr="001F2F9B">
          <w:rPr>
            <w:rStyle w:val="Hyperlink"/>
            <w:noProof/>
          </w:rPr>
          <w:t>Figure 4: The 22 Rescue Services Regions of Finland</w:t>
        </w:r>
        <w:r w:rsidRPr="001F2F9B">
          <w:rPr>
            <w:noProof/>
            <w:webHidden/>
          </w:rPr>
          <w:tab/>
        </w:r>
        <w:r w:rsidRPr="001F2F9B">
          <w:rPr>
            <w:noProof/>
            <w:webHidden/>
          </w:rPr>
          <w:fldChar w:fldCharType="begin"/>
        </w:r>
        <w:r w:rsidRPr="001F2F9B">
          <w:rPr>
            <w:noProof/>
            <w:webHidden/>
          </w:rPr>
          <w:instrText xml:space="preserve"> PAGEREF _Toc444089831 \h </w:instrText>
        </w:r>
        <w:r w:rsidRPr="001F2F9B">
          <w:rPr>
            <w:noProof/>
            <w:webHidden/>
          </w:rPr>
        </w:r>
        <w:r w:rsidRPr="001F2F9B">
          <w:rPr>
            <w:noProof/>
            <w:webHidden/>
          </w:rPr>
          <w:fldChar w:fldCharType="separate"/>
        </w:r>
        <w:r>
          <w:rPr>
            <w:noProof/>
            <w:webHidden/>
          </w:rPr>
          <w:t>685</w:t>
        </w:r>
        <w:r w:rsidRPr="001F2F9B">
          <w:rPr>
            <w:noProof/>
            <w:webHidden/>
          </w:rPr>
          <w:fldChar w:fldCharType="end"/>
        </w:r>
      </w:hyperlink>
    </w:p>
    <w:p w:rsidR="00CA1321" w:rsidRPr="001F2F9B" w:rsidRDefault="00CA1321" w:rsidP="00CA1321">
      <w:pPr>
        <w:pStyle w:val="Abbildungsverzeichnis"/>
        <w:tabs>
          <w:tab w:val="right" w:leader="dot" w:pos="9060"/>
        </w:tabs>
        <w:rPr>
          <w:rFonts w:eastAsiaTheme="minorEastAsia"/>
          <w:noProof/>
          <w:lang w:eastAsia="en-GB"/>
        </w:rPr>
      </w:pPr>
      <w:hyperlink w:anchor="_Toc444089832" w:history="1">
        <w:r w:rsidRPr="001F2F9B">
          <w:rPr>
            <w:rStyle w:val="Hyperlink"/>
            <w:noProof/>
          </w:rPr>
          <w:t>Figure 5: Public-Private Partnership in Security of Supply</w:t>
        </w:r>
        <w:r w:rsidRPr="001F2F9B">
          <w:rPr>
            <w:noProof/>
            <w:webHidden/>
          </w:rPr>
          <w:tab/>
        </w:r>
        <w:r w:rsidRPr="001F2F9B">
          <w:rPr>
            <w:noProof/>
            <w:webHidden/>
          </w:rPr>
          <w:fldChar w:fldCharType="begin"/>
        </w:r>
        <w:r w:rsidRPr="001F2F9B">
          <w:rPr>
            <w:noProof/>
            <w:webHidden/>
          </w:rPr>
          <w:instrText xml:space="preserve"> PAGEREF _Toc444089832 \h </w:instrText>
        </w:r>
        <w:r w:rsidRPr="001F2F9B">
          <w:rPr>
            <w:noProof/>
            <w:webHidden/>
          </w:rPr>
        </w:r>
        <w:r w:rsidRPr="001F2F9B">
          <w:rPr>
            <w:noProof/>
            <w:webHidden/>
          </w:rPr>
          <w:fldChar w:fldCharType="separate"/>
        </w:r>
        <w:r>
          <w:rPr>
            <w:noProof/>
            <w:webHidden/>
          </w:rPr>
          <w:t>688</w:t>
        </w:r>
        <w:r w:rsidRPr="001F2F9B">
          <w:rPr>
            <w:noProof/>
            <w:webHidden/>
          </w:rPr>
          <w:fldChar w:fldCharType="end"/>
        </w:r>
      </w:hyperlink>
    </w:p>
    <w:p w:rsidR="00CA1321" w:rsidRPr="001F2F9B" w:rsidRDefault="00CA1321" w:rsidP="00CA1321">
      <w:pPr>
        <w:tabs>
          <w:tab w:val="left" w:pos="4536"/>
        </w:tabs>
      </w:pPr>
      <w:r w:rsidRPr="001F2F9B">
        <w:fldChar w:fldCharType="end"/>
      </w:r>
    </w:p>
    <w:p w:rsidR="00CA1321" w:rsidRPr="001F2F9B" w:rsidRDefault="00CA1321" w:rsidP="00CA1321">
      <w:pPr>
        <w:tabs>
          <w:tab w:val="left" w:pos="4536"/>
        </w:tabs>
      </w:pPr>
    </w:p>
    <w:p w:rsidR="00CA1321" w:rsidRPr="001F2F9B" w:rsidRDefault="00CA1321" w:rsidP="00CA1321">
      <w:pPr>
        <w:tabs>
          <w:tab w:val="left" w:pos="4536"/>
        </w:tabs>
      </w:pPr>
    </w:p>
    <w:p w:rsidR="00CA1321" w:rsidRPr="001F2F9B" w:rsidRDefault="00CA1321" w:rsidP="00CA1321">
      <w:pPr>
        <w:pStyle w:val="berschrift2"/>
        <w:numPr>
          <w:ilvl w:val="0"/>
          <w:numId w:val="0"/>
        </w:numPr>
        <w:rPr>
          <w:rFonts w:cs="Times New Roman"/>
          <w:lang w:val="en-GB"/>
        </w:rPr>
      </w:pPr>
      <w:bookmarkStart w:id="15" w:name="_Toc444087605"/>
      <w:bookmarkStart w:id="16" w:name="_Toc444176178"/>
      <w:bookmarkStart w:id="17" w:name="_Toc445378501"/>
      <w:r w:rsidRPr="001F2F9B">
        <w:rPr>
          <w:lang w:val="en-GB"/>
        </w:rPr>
        <w:t>List of Tables</w:t>
      </w:r>
      <w:bookmarkEnd w:id="15"/>
      <w:bookmarkEnd w:id="16"/>
      <w:bookmarkEnd w:id="17"/>
      <w:r w:rsidRPr="001F2F9B">
        <w:rPr>
          <w:lang w:val="en-GB"/>
        </w:rPr>
        <w:t xml:space="preserve"> </w:t>
      </w:r>
    </w:p>
    <w:p w:rsidR="00CA1321" w:rsidRPr="001F2F9B" w:rsidRDefault="00CA1321" w:rsidP="00CA1321">
      <w:pPr>
        <w:pStyle w:val="Abbildungsverzeichnis"/>
        <w:tabs>
          <w:tab w:val="right" w:leader="dot" w:pos="9060"/>
        </w:tabs>
        <w:rPr>
          <w:rFonts w:eastAsiaTheme="minorEastAsia"/>
          <w:noProof/>
          <w:lang w:eastAsia="en-GB"/>
        </w:rPr>
      </w:pPr>
      <w:r w:rsidRPr="001F2F9B">
        <w:fldChar w:fldCharType="begin"/>
      </w:r>
      <w:r w:rsidRPr="001F2F9B">
        <w:instrText xml:space="preserve"> TOC \h \z \c "Table" </w:instrText>
      </w:r>
      <w:r w:rsidRPr="001F2F9B">
        <w:fldChar w:fldCharType="separate"/>
      </w:r>
      <w:hyperlink w:anchor="_Toc444087669" w:history="1">
        <w:r w:rsidRPr="001F2F9B">
          <w:rPr>
            <w:rStyle w:val="Hyperlink"/>
            <w:noProof/>
          </w:rPr>
          <w:t>Table 1: Disaster Risk of Finland and of neighbouring countries according to the World Risk Index 2014</w:t>
        </w:r>
        <w:r w:rsidRPr="001F2F9B">
          <w:rPr>
            <w:noProof/>
            <w:webHidden/>
          </w:rPr>
          <w:tab/>
        </w:r>
        <w:r w:rsidRPr="001F2F9B">
          <w:rPr>
            <w:noProof/>
            <w:webHidden/>
          </w:rPr>
          <w:fldChar w:fldCharType="begin"/>
        </w:r>
        <w:r w:rsidRPr="001F2F9B">
          <w:rPr>
            <w:noProof/>
            <w:webHidden/>
          </w:rPr>
          <w:instrText xml:space="preserve"> PAGEREF _Toc444087669 \h </w:instrText>
        </w:r>
        <w:r w:rsidRPr="001F2F9B">
          <w:rPr>
            <w:noProof/>
            <w:webHidden/>
          </w:rPr>
        </w:r>
        <w:r w:rsidRPr="001F2F9B">
          <w:rPr>
            <w:noProof/>
            <w:webHidden/>
          </w:rPr>
          <w:fldChar w:fldCharType="separate"/>
        </w:r>
        <w:r>
          <w:rPr>
            <w:noProof/>
            <w:webHidden/>
          </w:rPr>
          <w:t>661</w:t>
        </w:r>
        <w:r w:rsidRPr="001F2F9B">
          <w:rPr>
            <w:noProof/>
            <w:webHidden/>
          </w:rPr>
          <w:fldChar w:fldCharType="end"/>
        </w:r>
      </w:hyperlink>
    </w:p>
    <w:p w:rsidR="00CA1321" w:rsidRPr="001F2F9B" w:rsidRDefault="00CA1321" w:rsidP="00CA1321">
      <w:pPr>
        <w:pStyle w:val="Abbildungsverzeichnis"/>
        <w:tabs>
          <w:tab w:val="right" w:leader="dot" w:pos="9060"/>
        </w:tabs>
        <w:rPr>
          <w:rFonts w:eastAsiaTheme="minorEastAsia"/>
          <w:noProof/>
          <w:lang w:eastAsia="en-GB"/>
        </w:rPr>
      </w:pPr>
      <w:hyperlink w:anchor="_Toc444087670" w:history="1">
        <w:r w:rsidRPr="001F2F9B">
          <w:rPr>
            <w:rStyle w:val="Hyperlink"/>
            <w:noProof/>
          </w:rPr>
          <w:t>Table 2: (Top 10) Natural Disasters in Finland for the period 1900 to 2014</w:t>
        </w:r>
        <w:r w:rsidRPr="001F2F9B">
          <w:rPr>
            <w:noProof/>
            <w:webHidden/>
          </w:rPr>
          <w:tab/>
        </w:r>
        <w:r w:rsidRPr="001F2F9B">
          <w:rPr>
            <w:noProof/>
            <w:webHidden/>
          </w:rPr>
          <w:fldChar w:fldCharType="begin"/>
        </w:r>
        <w:r w:rsidRPr="001F2F9B">
          <w:rPr>
            <w:noProof/>
            <w:webHidden/>
          </w:rPr>
          <w:instrText xml:space="preserve"> PAGEREF _Toc444087670 \h </w:instrText>
        </w:r>
        <w:r w:rsidRPr="001F2F9B">
          <w:rPr>
            <w:noProof/>
            <w:webHidden/>
          </w:rPr>
        </w:r>
        <w:r w:rsidRPr="001F2F9B">
          <w:rPr>
            <w:noProof/>
            <w:webHidden/>
          </w:rPr>
          <w:fldChar w:fldCharType="separate"/>
        </w:r>
        <w:r>
          <w:rPr>
            <w:noProof/>
            <w:webHidden/>
          </w:rPr>
          <w:t>661</w:t>
        </w:r>
        <w:r w:rsidRPr="001F2F9B">
          <w:rPr>
            <w:noProof/>
            <w:webHidden/>
          </w:rPr>
          <w:fldChar w:fldCharType="end"/>
        </w:r>
      </w:hyperlink>
    </w:p>
    <w:p w:rsidR="00CA1321" w:rsidRPr="001F2F9B" w:rsidRDefault="00CA1321" w:rsidP="00CA1321">
      <w:pPr>
        <w:pStyle w:val="Abbildungsverzeichnis"/>
        <w:tabs>
          <w:tab w:val="right" w:leader="dot" w:pos="9060"/>
        </w:tabs>
        <w:rPr>
          <w:rFonts w:eastAsiaTheme="minorEastAsia"/>
          <w:noProof/>
          <w:lang w:eastAsia="en-GB"/>
        </w:rPr>
      </w:pPr>
      <w:hyperlink w:anchor="_Toc444087671" w:history="1">
        <w:r w:rsidRPr="001F2F9B">
          <w:rPr>
            <w:rStyle w:val="Hyperlink"/>
            <w:noProof/>
          </w:rPr>
          <w:t>Table 3: 49 Strategic tasks which are central to securing society’s vital functions and the ministry responsible for the development of each strategic task</w:t>
        </w:r>
        <w:r w:rsidRPr="001F2F9B">
          <w:rPr>
            <w:noProof/>
            <w:webHidden/>
          </w:rPr>
          <w:tab/>
        </w:r>
        <w:r w:rsidRPr="001F2F9B">
          <w:rPr>
            <w:noProof/>
            <w:webHidden/>
          </w:rPr>
          <w:fldChar w:fldCharType="begin"/>
        </w:r>
        <w:r w:rsidRPr="001F2F9B">
          <w:rPr>
            <w:noProof/>
            <w:webHidden/>
          </w:rPr>
          <w:instrText xml:space="preserve"> PAGEREF _Toc444087671 \h </w:instrText>
        </w:r>
        <w:r w:rsidRPr="001F2F9B">
          <w:rPr>
            <w:noProof/>
            <w:webHidden/>
          </w:rPr>
        </w:r>
        <w:r w:rsidRPr="001F2F9B">
          <w:rPr>
            <w:noProof/>
            <w:webHidden/>
          </w:rPr>
          <w:fldChar w:fldCharType="separate"/>
        </w:r>
        <w:r>
          <w:rPr>
            <w:noProof/>
            <w:webHidden/>
          </w:rPr>
          <w:t>668</w:t>
        </w:r>
        <w:r w:rsidRPr="001F2F9B">
          <w:rPr>
            <w:noProof/>
            <w:webHidden/>
          </w:rPr>
          <w:fldChar w:fldCharType="end"/>
        </w:r>
      </w:hyperlink>
    </w:p>
    <w:p w:rsidR="00CA1321" w:rsidRPr="001F2F9B" w:rsidRDefault="00CA1321" w:rsidP="00CA1321">
      <w:pPr>
        <w:tabs>
          <w:tab w:val="left" w:pos="4536"/>
        </w:tabs>
      </w:pPr>
      <w:r w:rsidRPr="001F2F9B">
        <w:fldChar w:fldCharType="end"/>
      </w:r>
    </w:p>
    <w:p w:rsidR="00CA1321" w:rsidRPr="001F2F9B" w:rsidRDefault="00CA1321" w:rsidP="00CA1321">
      <w:pPr>
        <w:tabs>
          <w:tab w:val="left" w:pos="4536"/>
        </w:tabs>
      </w:pPr>
    </w:p>
    <w:p w:rsidR="00CA1321" w:rsidRPr="001F2F9B" w:rsidRDefault="00CA1321" w:rsidP="00CA1321">
      <w:pPr>
        <w:pStyle w:val="berschrift2"/>
        <w:numPr>
          <w:ilvl w:val="0"/>
          <w:numId w:val="0"/>
        </w:numPr>
        <w:rPr>
          <w:rFonts w:cs="Times New Roman"/>
          <w:lang w:val="en-GB"/>
        </w:rPr>
      </w:pPr>
      <w:r w:rsidRPr="001F2F9B">
        <w:rPr>
          <w:rFonts w:cs="Times New Roman"/>
          <w:lang w:val="en-GB"/>
        </w:rPr>
        <w:br w:type="page"/>
      </w:r>
      <w:bookmarkStart w:id="18" w:name="_Toc444087606"/>
      <w:bookmarkStart w:id="19" w:name="_Toc444176179"/>
      <w:bookmarkStart w:id="20" w:name="_Toc445378502"/>
      <w:r w:rsidRPr="001F2F9B">
        <w:rPr>
          <w:lang w:val="en-GB"/>
        </w:rPr>
        <w:lastRenderedPageBreak/>
        <w:t>List of Abbreviations</w:t>
      </w:r>
      <w:bookmarkEnd w:id="18"/>
      <w:bookmarkEnd w:id="19"/>
      <w:bookmarkEnd w:id="20"/>
      <w:r w:rsidRPr="001F2F9B">
        <w:rPr>
          <w:lang w:val="en-GB"/>
        </w:rPr>
        <w:t xml:space="preserve"> </w:t>
      </w:r>
    </w:p>
    <w:tbl>
      <w:tblPr>
        <w:tblStyle w:val="Tabellenraster"/>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354"/>
        <w:gridCol w:w="7824"/>
      </w:tblGrid>
      <w:tr w:rsidR="00CA1321" w:rsidRPr="001F2F9B" w:rsidTr="005F6A2A">
        <w:tc>
          <w:tcPr>
            <w:tcW w:w="1368" w:type="dxa"/>
            <w:vAlign w:val="center"/>
          </w:tcPr>
          <w:p w:rsidR="00CA1321" w:rsidRPr="001F2F9B" w:rsidRDefault="00CA1321" w:rsidP="005F6A2A">
            <w:pPr>
              <w:jc w:val="left"/>
              <w:rPr>
                <w:rFonts w:eastAsia="Calibri"/>
              </w:rPr>
            </w:pPr>
            <w:r w:rsidRPr="001F2F9B">
              <w:rPr>
                <w:rFonts w:eastAsia="Calibri"/>
              </w:rPr>
              <w:t>CM</w:t>
            </w:r>
          </w:p>
        </w:tc>
        <w:tc>
          <w:tcPr>
            <w:tcW w:w="7918" w:type="dxa"/>
            <w:vAlign w:val="center"/>
          </w:tcPr>
          <w:p w:rsidR="00CA1321" w:rsidRPr="001F2F9B" w:rsidRDefault="00CA1321" w:rsidP="005F6A2A">
            <w:pPr>
              <w:jc w:val="left"/>
              <w:rPr>
                <w:rFonts w:eastAsia="Calibri"/>
              </w:rPr>
            </w:pPr>
            <w:r w:rsidRPr="001F2F9B">
              <w:rPr>
                <w:rFonts w:eastAsia="Calibri"/>
              </w:rPr>
              <w:t>Crisis Management</w:t>
            </w:r>
          </w:p>
        </w:tc>
      </w:tr>
      <w:tr w:rsidR="00CA1321" w:rsidRPr="001F2F9B" w:rsidTr="005F6A2A">
        <w:tc>
          <w:tcPr>
            <w:tcW w:w="1368" w:type="dxa"/>
            <w:vAlign w:val="center"/>
          </w:tcPr>
          <w:p w:rsidR="00CA1321" w:rsidRPr="001F2F9B" w:rsidRDefault="00CA1321" w:rsidP="005F6A2A">
            <w:pPr>
              <w:jc w:val="left"/>
              <w:rPr>
                <w:rFonts w:eastAsia="Calibri"/>
              </w:rPr>
            </w:pPr>
            <w:r w:rsidRPr="001F2F9B">
              <w:rPr>
                <w:rFonts w:eastAsia="Calibri"/>
              </w:rPr>
              <w:t>DRR</w:t>
            </w:r>
          </w:p>
        </w:tc>
        <w:tc>
          <w:tcPr>
            <w:tcW w:w="7918" w:type="dxa"/>
            <w:vAlign w:val="center"/>
          </w:tcPr>
          <w:p w:rsidR="00CA1321" w:rsidRPr="001F2F9B" w:rsidRDefault="00CA1321" w:rsidP="005F6A2A">
            <w:pPr>
              <w:jc w:val="left"/>
              <w:rPr>
                <w:rFonts w:eastAsia="Calibri"/>
              </w:rPr>
            </w:pPr>
            <w:r w:rsidRPr="001F2F9B">
              <w:rPr>
                <w:rFonts w:eastAsia="Calibri"/>
              </w:rPr>
              <w:t>Disaster Risk Reduction</w:t>
            </w:r>
          </w:p>
        </w:tc>
      </w:tr>
      <w:tr w:rsidR="00CA1321" w:rsidRPr="001F2F9B" w:rsidTr="005F6A2A">
        <w:tc>
          <w:tcPr>
            <w:tcW w:w="1368" w:type="dxa"/>
          </w:tcPr>
          <w:p w:rsidR="00CA1321" w:rsidRPr="001F2F9B" w:rsidRDefault="00CA1321" w:rsidP="005F6A2A">
            <w:r w:rsidRPr="001F2F9B">
              <w:t>FEI</w:t>
            </w:r>
          </w:p>
        </w:tc>
        <w:tc>
          <w:tcPr>
            <w:tcW w:w="7918" w:type="dxa"/>
          </w:tcPr>
          <w:p w:rsidR="00CA1321" w:rsidRPr="001F2F9B" w:rsidRDefault="00CA1321" w:rsidP="005F6A2A">
            <w:r w:rsidRPr="001F2F9B">
              <w:t>Finnish Environment Institute (finish name: SYKE)</w:t>
            </w:r>
          </w:p>
        </w:tc>
      </w:tr>
      <w:tr w:rsidR="00CA1321" w:rsidRPr="001F2F9B" w:rsidTr="005F6A2A">
        <w:tc>
          <w:tcPr>
            <w:tcW w:w="1368" w:type="dxa"/>
          </w:tcPr>
          <w:p w:rsidR="00CA1321" w:rsidRPr="001F2F9B" w:rsidRDefault="00CA1321" w:rsidP="005F6A2A">
            <w:r w:rsidRPr="001F2F9B">
              <w:t xml:space="preserve">FMI </w:t>
            </w:r>
          </w:p>
        </w:tc>
        <w:tc>
          <w:tcPr>
            <w:tcW w:w="7918" w:type="dxa"/>
          </w:tcPr>
          <w:p w:rsidR="00CA1321" w:rsidRPr="001F2F9B" w:rsidRDefault="00CA1321" w:rsidP="005F6A2A">
            <w:r w:rsidRPr="001F2F9B">
              <w:t xml:space="preserve">Finnish Meteorological Institute </w:t>
            </w:r>
          </w:p>
        </w:tc>
      </w:tr>
      <w:tr w:rsidR="00CA1321" w:rsidRPr="001F2F9B" w:rsidTr="005F6A2A">
        <w:tc>
          <w:tcPr>
            <w:tcW w:w="1368" w:type="dxa"/>
            <w:vAlign w:val="center"/>
          </w:tcPr>
          <w:p w:rsidR="00CA1321" w:rsidRPr="001F2F9B" w:rsidRDefault="00CA1321" w:rsidP="005F6A2A">
            <w:pPr>
              <w:jc w:val="left"/>
              <w:rPr>
                <w:rFonts w:eastAsia="Calibri"/>
              </w:rPr>
            </w:pPr>
            <w:r w:rsidRPr="001F2F9B">
              <w:rPr>
                <w:rFonts w:eastAsia="Calibri"/>
              </w:rPr>
              <w:t>HFA</w:t>
            </w:r>
          </w:p>
        </w:tc>
        <w:tc>
          <w:tcPr>
            <w:tcW w:w="7918" w:type="dxa"/>
            <w:vAlign w:val="center"/>
          </w:tcPr>
          <w:p w:rsidR="00CA1321" w:rsidRPr="001F2F9B" w:rsidRDefault="00CA1321" w:rsidP="005F6A2A">
            <w:pPr>
              <w:jc w:val="left"/>
              <w:rPr>
                <w:rFonts w:eastAsia="Calibri"/>
              </w:rPr>
            </w:pPr>
            <w:r w:rsidRPr="001F2F9B">
              <w:rPr>
                <w:rFonts w:eastAsia="Calibri"/>
              </w:rPr>
              <w:t>Hyogo Framework for Action</w:t>
            </w:r>
          </w:p>
        </w:tc>
      </w:tr>
      <w:tr w:rsidR="00CA1321" w:rsidRPr="001F2F9B" w:rsidTr="005F6A2A">
        <w:tblPrEx>
          <w:tblLook w:val="04A0" w:firstRow="1" w:lastRow="0" w:firstColumn="1" w:lastColumn="0" w:noHBand="0" w:noVBand="1"/>
        </w:tblPrEx>
        <w:trPr>
          <w:trHeight w:val="300"/>
        </w:trPr>
        <w:tc>
          <w:tcPr>
            <w:tcW w:w="1368" w:type="dxa"/>
            <w:noWrap/>
            <w:vAlign w:val="center"/>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PLOPC</w:t>
            </w:r>
          </w:p>
        </w:tc>
        <w:tc>
          <w:tcPr>
            <w:tcW w:w="7918" w:type="dxa"/>
            <w:noWrap/>
            <w:vAlign w:val="center"/>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Policy, Legislation, Organisation, Procedures &amp; Capabilities</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 xml:space="preserve">PMO </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Prime Minister’s Office</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MoJ</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Justice</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MFA</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for Foreign Affairs</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MoD</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Defence</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MoI</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the Interior</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MoAF</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Agriculture and Forestry</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MoE</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the Environment</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MoF</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Finance</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MoSAH</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Social Affairs and Health</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MoEE</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Employment and the Economy</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MoTC</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Transport and Communications</w:t>
            </w:r>
          </w:p>
        </w:tc>
      </w:tr>
      <w:tr w:rsidR="00CA1321" w:rsidRPr="001F2F9B" w:rsidTr="005F6A2A">
        <w:tblPrEx>
          <w:tblLook w:val="04A0" w:firstRow="1" w:lastRow="0" w:firstColumn="1" w:lastColumn="0" w:noHBand="0" w:noVBand="1"/>
        </w:tblPrEx>
        <w:trPr>
          <w:trHeight w:val="300"/>
        </w:trPr>
        <w:tc>
          <w:tcPr>
            <w:tcW w:w="136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MoEC</w:t>
            </w:r>
          </w:p>
        </w:tc>
        <w:tc>
          <w:tcPr>
            <w:tcW w:w="7918" w:type="dxa"/>
            <w:noWrap/>
            <w:vAlign w:val="center"/>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Ministry of Education and Culture</w:t>
            </w:r>
          </w:p>
        </w:tc>
      </w:tr>
      <w:tr w:rsidR="00CA1321" w:rsidRPr="001F2F9B" w:rsidTr="005F6A2A">
        <w:tc>
          <w:tcPr>
            <w:tcW w:w="1368" w:type="dxa"/>
            <w:vAlign w:val="center"/>
          </w:tcPr>
          <w:p w:rsidR="00CA1321" w:rsidRPr="001F2F9B" w:rsidRDefault="00CA1321" w:rsidP="005F6A2A">
            <w:pPr>
              <w:jc w:val="left"/>
              <w:rPr>
                <w:rFonts w:eastAsia="Calibri"/>
              </w:rPr>
            </w:pPr>
            <w:r w:rsidRPr="001F2F9B">
              <w:rPr>
                <w:rFonts w:eastAsia="Calibri"/>
              </w:rPr>
              <w:t>NESA</w:t>
            </w:r>
          </w:p>
        </w:tc>
        <w:tc>
          <w:tcPr>
            <w:tcW w:w="7918" w:type="dxa"/>
            <w:vAlign w:val="center"/>
          </w:tcPr>
          <w:p w:rsidR="00CA1321" w:rsidRPr="001F2F9B" w:rsidRDefault="00CA1321" w:rsidP="005F6A2A">
            <w:pPr>
              <w:jc w:val="left"/>
              <w:rPr>
                <w:rFonts w:eastAsia="Calibri"/>
              </w:rPr>
            </w:pPr>
            <w:r w:rsidRPr="001F2F9B">
              <w:rPr>
                <w:rFonts w:eastAsia="Calibri"/>
              </w:rPr>
              <w:t>National Emergency Supply Agency</w:t>
            </w:r>
          </w:p>
        </w:tc>
      </w:tr>
      <w:tr w:rsidR="00CA1321" w:rsidRPr="001F2F9B" w:rsidTr="005F6A2A">
        <w:tc>
          <w:tcPr>
            <w:tcW w:w="1368" w:type="dxa"/>
            <w:vAlign w:val="center"/>
          </w:tcPr>
          <w:p w:rsidR="00CA1321" w:rsidRPr="001F2F9B" w:rsidRDefault="00CA1321" w:rsidP="005F6A2A">
            <w:pPr>
              <w:jc w:val="left"/>
              <w:rPr>
                <w:rFonts w:eastAsia="Calibri"/>
              </w:rPr>
            </w:pPr>
            <w:r w:rsidRPr="001F2F9B">
              <w:rPr>
                <w:rFonts w:eastAsia="Calibri"/>
              </w:rPr>
              <w:t>OECD</w:t>
            </w:r>
          </w:p>
        </w:tc>
        <w:tc>
          <w:tcPr>
            <w:tcW w:w="7918" w:type="dxa"/>
            <w:vAlign w:val="center"/>
          </w:tcPr>
          <w:p w:rsidR="00CA1321" w:rsidRPr="001F2F9B" w:rsidRDefault="00CA1321" w:rsidP="005F6A2A">
            <w:pPr>
              <w:jc w:val="left"/>
              <w:rPr>
                <w:rFonts w:eastAsia="Calibri"/>
              </w:rPr>
            </w:pPr>
            <w:r w:rsidRPr="001F2F9B">
              <w:rPr>
                <w:rFonts w:eastAsia="Calibri"/>
              </w:rPr>
              <w:t>Organisation for Economic Co-operation and Development</w:t>
            </w:r>
          </w:p>
        </w:tc>
      </w:tr>
      <w:tr w:rsidR="00CA1321" w:rsidRPr="001F2F9B" w:rsidTr="005F6A2A">
        <w:tc>
          <w:tcPr>
            <w:tcW w:w="1368" w:type="dxa"/>
            <w:vAlign w:val="center"/>
          </w:tcPr>
          <w:p w:rsidR="00CA1321" w:rsidRPr="001F2F9B" w:rsidRDefault="00CA1321" w:rsidP="005F6A2A">
            <w:pPr>
              <w:jc w:val="left"/>
              <w:rPr>
                <w:rFonts w:eastAsia="Calibri"/>
              </w:rPr>
            </w:pPr>
            <w:r w:rsidRPr="001F2F9B">
              <w:rPr>
                <w:rFonts w:eastAsia="Calibri"/>
              </w:rPr>
              <w:t>SYKE</w:t>
            </w:r>
          </w:p>
        </w:tc>
        <w:tc>
          <w:tcPr>
            <w:tcW w:w="7918" w:type="dxa"/>
            <w:vAlign w:val="center"/>
          </w:tcPr>
          <w:p w:rsidR="00CA1321" w:rsidRPr="001F2F9B" w:rsidRDefault="00CA1321" w:rsidP="005F6A2A">
            <w:pPr>
              <w:jc w:val="left"/>
              <w:rPr>
                <w:rFonts w:eastAsia="Calibri"/>
              </w:rPr>
            </w:pPr>
            <w:r w:rsidRPr="001F2F9B">
              <w:rPr>
                <w:rFonts w:eastAsia="Calibri"/>
              </w:rPr>
              <w:t>Finnish Environment Institute (=FEI)</w:t>
            </w:r>
          </w:p>
        </w:tc>
      </w:tr>
      <w:tr w:rsidR="00CA1321" w:rsidRPr="001F2F9B" w:rsidTr="005F6A2A">
        <w:tc>
          <w:tcPr>
            <w:tcW w:w="1368" w:type="dxa"/>
            <w:vAlign w:val="center"/>
          </w:tcPr>
          <w:p w:rsidR="00CA1321" w:rsidRPr="001F2F9B" w:rsidRDefault="00CA1321" w:rsidP="005F6A2A">
            <w:pPr>
              <w:jc w:val="left"/>
              <w:rPr>
                <w:rFonts w:eastAsia="Calibri"/>
              </w:rPr>
            </w:pPr>
            <w:r w:rsidRPr="001F2F9B">
              <w:rPr>
                <w:rFonts w:eastAsia="Calibri"/>
              </w:rPr>
              <w:t>TUVE</w:t>
            </w:r>
          </w:p>
        </w:tc>
        <w:tc>
          <w:tcPr>
            <w:tcW w:w="7918" w:type="dxa"/>
            <w:vAlign w:val="center"/>
          </w:tcPr>
          <w:p w:rsidR="00CA1321" w:rsidRPr="001F2F9B" w:rsidRDefault="00CA1321" w:rsidP="005F6A2A">
            <w:pPr>
              <w:jc w:val="left"/>
              <w:rPr>
                <w:rFonts w:eastAsia="Calibri"/>
              </w:rPr>
            </w:pPr>
            <w:r w:rsidRPr="001F2F9B">
              <w:rPr>
                <w:rFonts w:eastAsia="Calibri"/>
              </w:rPr>
              <w:t>Turvallisuusverkkohanke (Government Security Network)</w:t>
            </w:r>
          </w:p>
        </w:tc>
      </w:tr>
      <w:tr w:rsidR="00CA1321" w:rsidRPr="001F2F9B" w:rsidTr="005F6A2A">
        <w:tc>
          <w:tcPr>
            <w:tcW w:w="1368" w:type="dxa"/>
            <w:vAlign w:val="center"/>
          </w:tcPr>
          <w:p w:rsidR="00CA1321" w:rsidRPr="001F2F9B" w:rsidRDefault="00CA1321" w:rsidP="005F6A2A">
            <w:pPr>
              <w:jc w:val="left"/>
              <w:rPr>
                <w:rFonts w:eastAsia="Calibri"/>
              </w:rPr>
            </w:pPr>
            <w:r w:rsidRPr="001F2F9B">
              <w:rPr>
                <w:rFonts w:eastAsia="Calibri"/>
              </w:rPr>
              <w:t>VITRE</w:t>
            </w:r>
          </w:p>
        </w:tc>
        <w:tc>
          <w:tcPr>
            <w:tcW w:w="7918" w:type="dxa"/>
            <w:vAlign w:val="center"/>
          </w:tcPr>
          <w:p w:rsidR="00CA1321" w:rsidRPr="001F2F9B" w:rsidRDefault="00CA1321" w:rsidP="005F6A2A">
            <w:pPr>
              <w:jc w:val="left"/>
              <w:rPr>
                <w:rFonts w:eastAsia="Calibri"/>
              </w:rPr>
            </w:pPr>
            <w:r w:rsidRPr="001F2F9B">
              <w:rPr>
                <w:rFonts w:eastAsia="Calibri"/>
              </w:rPr>
              <w:t>Viranomaisverkko (Public Authority Network)</w:t>
            </w:r>
          </w:p>
        </w:tc>
      </w:tr>
      <w:tr w:rsidR="00CA1321" w:rsidRPr="001F2F9B" w:rsidTr="005F6A2A">
        <w:tc>
          <w:tcPr>
            <w:tcW w:w="1368" w:type="dxa"/>
            <w:vAlign w:val="center"/>
          </w:tcPr>
          <w:p w:rsidR="00CA1321" w:rsidRPr="001F2F9B" w:rsidRDefault="00CA1321" w:rsidP="005F6A2A">
            <w:pPr>
              <w:jc w:val="left"/>
              <w:rPr>
                <w:rFonts w:eastAsia="Calibri"/>
              </w:rPr>
            </w:pPr>
          </w:p>
        </w:tc>
        <w:tc>
          <w:tcPr>
            <w:tcW w:w="7918" w:type="dxa"/>
            <w:vAlign w:val="center"/>
          </w:tcPr>
          <w:p w:rsidR="00CA1321" w:rsidRPr="001F2F9B" w:rsidRDefault="00CA1321" w:rsidP="005F6A2A">
            <w:pPr>
              <w:jc w:val="left"/>
              <w:rPr>
                <w:rFonts w:eastAsia="Calibri"/>
              </w:rPr>
            </w:pPr>
          </w:p>
        </w:tc>
      </w:tr>
      <w:tr w:rsidR="00CA1321" w:rsidRPr="001F2F9B" w:rsidTr="005F6A2A">
        <w:tc>
          <w:tcPr>
            <w:tcW w:w="1368" w:type="dxa"/>
            <w:vAlign w:val="center"/>
          </w:tcPr>
          <w:p w:rsidR="00CA1321" w:rsidRPr="001F2F9B" w:rsidRDefault="00CA1321" w:rsidP="005F6A2A">
            <w:pPr>
              <w:jc w:val="left"/>
              <w:rPr>
                <w:rFonts w:eastAsia="Calibri"/>
              </w:rPr>
            </w:pPr>
          </w:p>
        </w:tc>
        <w:tc>
          <w:tcPr>
            <w:tcW w:w="7918" w:type="dxa"/>
            <w:vAlign w:val="center"/>
          </w:tcPr>
          <w:p w:rsidR="00CA1321" w:rsidRPr="001F2F9B" w:rsidRDefault="00CA1321" w:rsidP="005F6A2A">
            <w:pPr>
              <w:jc w:val="left"/>
              <w:rPr>
                <w:rFonts w:eastAsia="Calibri"/>
              </w:rPr>
            </w:pPr>
          </w:p>
        </w:tc>
      </w:tr>
    </w:tbl>
    <w:p w:rsidR="00CA1321" w:rsidRPr="001F2F9B" w:rsidRDefault="00CA1321" w:rsidP="00CA1321">
      <w:pPr>
        <w:tabs>
          <w:tab w:val="left" w:pos="4536"/>
        </w:tabs>
      </w:pPr>
    </w:p>
    <w:p w:rsidR="00CA1321" w:rsidRPr="001F2F9B" w:rsidRDefault="00CA1321" w:rsidP="00CA1321">
      <w:pPr>
        <w:spacing w:before="0" w:after="200"/>
        <w:jc w:val="left"/>
        <w:rPr>
          <w:rFonts w:eastAsiaTheme="majorEastAsia" w:cstheme="majorBidi"/>
          <w:bCs/>
          <w:color w:val="5C2A59"/>
          <w:sz w:val="28"/>
          <w:szCs w:val="26"/>
        </w:rPr>
      </w:pPr>
      <w:r w:rsidRPr="001F2F9B">
        <w:br w:type="page"/>
      </w:r>
    </w:p>
    <w:p w:rsidR="00CA1321" w:rsidRPr="001F2F9B" w:rsidRDefault="00CA1321" w:rsidP="00CA1321">
      <w:pPr>
        <w:pStyle w:val="berschrift2"/>
        <w:numPr>
          <w:ilvl w:val="0"/>
          <w:numId w:val="0"/>
        </w:numPr>
        <w:ind w:left="576" w:hanging="576"/>
        <w:rPr>
          <w:lang w:val="en-GB"/>
        </w:rPr>
      </w:pPr>
      <w:bookmarkStart w:id="21" w:name="_Toc444087607"/>
      <w:bookmarkStart w:id="22" w:name="_Toc444176180"/>
      <w:bookmarkStart w:id="23" w:name="_Toc445378503"/>
      <w:r w:rsidRPr="001F2F9B">
        <w:rPr>
          <w:lang w:val="en-GB"/>
        </w:rPr>
        <w:lastRenderedPageBreak/>
        <w:t>List of Definitions</w:t>
      </w:r>
      <w:bookmarkEnd w:id="21"/>
      <w:bookmarkEnd w:id="22"/>
      <w:bookmarkEnd w:id="23"/>
      <w:r w:rsidRPr="001F2F9B">
        <w:rPr>
          <w:lang w:val="en-GB"/>
        </w:rPr>
        <w:t xml:space="preserve"> </w:t>
      </w:r>
    </w:p>
    <w:tbl>
      <w:tblPr>
        <w:tblStyle w:val="Tabellenraster"/>
        <w:tblW w:w="0" w:type="auto"/>
        <w:tblInd w:w="-1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90"/>
        <w:gridCol w:w="6888"/>
      </w:tblGrid>
      <w:tr w:rsidR="00CA1321" w:rsidRPr="001F2F9B" w:rsidTr="005F6A2A">
        <w:trPr>
          <w:trHeight w:val="300"/>
        </w:trPr>
        <w:tc>
          <w:tcPr>
            <w:tcW w:w="2341" w:type="dxa"/>
            <w:noWrap/>
            <w:hideMark/>
          </w:tcPr>
          <w:p w:rsidR="00CA1321" w:rsidRPr="001F2F9B" w:rsidRDefault="00CA1321" w:rsidP="005F6A2A">
            <w:pPr>
              <w:jc w:val="left"/>
              <w:rPr>
                <w:lang w:eastAsia="de-DE"/>
              </w:rPr>
            </w:pPr>
            <w:r w:rsidRPr="001F2F9B">
              <w:rPr>
                <w:lang w:eastAsia="de-DE"/>
              </w:rPr>
              <w:t>Comprehensive concept of security</w:t>
            </w:r>
          </w:p>
        </w:tc>
        <w:tc>
          <w:tcPr>
            <w:tcW w:w="7051" w:type="dxa"/>
            <w:noWrap/>
            <w:hideMark/>
          </w:tcPr>
          <w:p w:rsidR="00CA1321" w:rsidRPr="001F2F9B" w:rsidRDefault="00CA1321" w:rsidP="005F6A2A">
            <w:pPr>
              <w:rPr>
                <w:lang w:eastAsia="de-DE"/>
              </w:rPr>
            </w:pPr>
            <w:r w:rsidRPr="001F2F9B">
              <w:rPr>
                <w:lang w:eastAsia="de-DE"/>
              </w:rPr>
              <w:t>The comprehensive concept of security comprises security issues which, if exacerbated, may turn into threats that can jeopardise or seriously harm Finland, Finns or the functions vital to Finnish society. Wide-ranging threats include premeditated action such as the use of military force, terrorism or interference with information networks. They can also occur spontaneously, such as widespread failures of the electric grid or extreme forces of nature.</w:t>
            </w:r>
          </w:p>
        </w:tc>
      </w:tr>
      <w:tr w:rsidR="00CA1321" w:rsidRPr="001F2F9B" w:rsidTr="005F6A2A">
        <w:trPr>
          <w:trHeight w:val="300"/>
        </w:trPr>
        <w:tc>
          <w:tcPr>
            <w:tcW w:w="2341" w:type="dxa"/>
            <w:noWrap/>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Disturbance</w:t>
            </w:r>
          </w:p>
        </w:tc>
        <w:tc>
          <w:tcPr>
            <w:tcW w:w="7051" w:type="dxa"/>
            <w:noWrap/>
            <w:hideMark/>
          </w:tcPr>
          <w:p w:rsidR="00CA1321" w:rsidRPr="001F2F9B" w:rsidRDefault="00CA1321" w:rsidP="005F6A2A">
            <w:pPr>
              <w:rPr>
                <w:rFonts w:ascii="Calibri" w:hAnsi="Calibri" w:cs="Times New Roman"/>
                <w:color w:val="000000"/>
                <w:lang w:eastAsia="de-DE"/>
              </w:rPr>
            </w:pPr>
            <w:r w:rsidRPr="001F2F9B">
              <w:rPr>
                <w:rFonts w:ascii="Calibri" w:hAnsi="Calibri" w:cs="Times New Roman"/>
                <w:color w:val="000000"/>
                <w:lang w:eastAsia="de-DE"/>
              </w:rPr>
              <w:t xml:space="preserve">This is a threat or an occurrence which endangers </w:t>
            </w:r>
            <w:r w:rsidRPr="001F2F9B">
              <w:rPr>
                <w:lang w:eastAsia="de-DE"/>
              </w:rPr>
              <w:t>security in</w:t>
            </w:r>
            <w:r w:rsidRPr="001F2F9B">
              <w:t xml:space="preserve"> </w:t>
            </w:r>
            <w:r w:rsidRPr="001F2F9B">
              <w:rPr>
                <w:lang w:eastAsia="de-DE"/>
              </w:rPr>
              <w:t>society, capacity to act or the population’s living conditions.</w:t>
            </w:r>
            <w:r w:rsidRPr="001F2F9B">
              <w:t xml:space="preserve"> </w:t>
            </w:r>
            <w:r w:rsidRPr="001F2F9B">
              <w:rPr>
                <w:lang w:eastAsia="de-DE"/>
              </w:rPr>
              <w:t>Co-operation and communication of the authorities and</w:t>
            </w:r>
            <w:r w:rsidRPr="001F2F9B">
              <w:t xml:space="preserve"> </w:t>
            </w:r>
            <w:r w:rsidRPr="001F2F9B">
              <w:rPr>
                <w:lang w:eastAsia="de-DE"/>
              </w:rPr>
              <w:t>other actors on a wider or more intensive scale are needed to</w:t>
            </w:r>
            <w:r w:rsidRPr="001F2F9B">
              <w:rPr>
                <w:rFonts w:ascii="Calibri" w:hAnsi="Calibri" w:cs="Times New Roman"/>
                <w:color w:val="000000"/>
                <w:lang w:eastAsia="de-DE"/>
              </w:rPr>
              <w:t xml:space="preserve"> manage the situation.</w:t>
            </w:r>
          </w:p>
        </w:tc>
      </w:tr>
      <w:tr w:rsidR="00CA1321" w:rsidRPr="001F2F9B" w:rsidTr="005F6A2A">
        <w:trPr>
          <w:trHeight w:val="300"/>
        </w:trPr>
        <w:tc>
          <w:tcPr>
            <w:tcW w:w="2341" w:type="dxa"/>
            <w:noWrap/>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Threat assessment</w:t>
            </w:r>
          </w:p>
        </w:tc>
        <w:tc>
          <w:tcPr>
            <w:tcW w:w="7051" w:type="dxa"/>
            <w:noWrap/>
            <w:hideMark/>
          </w:tcPr>
          <w:p w:rsidR="00CA1321" w:rsidRPr="001F2F9B" w:rsidRDefault="00CA1321" w:rsidP="005F6A2A">
            <w:pPr>
              <w:rPr>
                <w:lang w:eastAsia="de-DE"/>
              </w:rPr>
            </w:pPr>
            <w:r w:rsidRPr="001F2F9B">
              <w:rPr>
                <w:lang w:eastAsia="de-DE"/>
              </w:rPr>
              <w:t>An assessment of a competent authority or another actor, based on a threat scenario and regarding the tasks the authority is responsible for and disturbances. The scenario concretely describes the origin of the threat, target, method of implementation, probability, effects on the authority’s tasks as well as response options and the time required for advance preparations.</w:t>
            </w:r>
          </w:p>
        </w:tc>
      </w:tr>
      <w:tr w:rsidR="00CA1321" w:rsidRPr="001F2F9B" w:rsidTr="005F6A2A">
        <w:trPr>
          <w:trHeight w:val="300"/>
        </w:trPr>
        <w:tc>
          <w:tcPr>
            <w:tcW w:w="2341" w:type="dxa"/>
            <w:noWrap/>
            <w:hideMark/>
          </w:tcPr>
          <w:p w:rsidR="00CA1321" w:rsidRPr="001F2F9B" w:rsidRDefault="00CA1321" w:rsidP="005F6A2A">
            <w:pPr>
              <w:jc w:val="left"/>
              <w:rPr>
                <w:rFonts w:ascii="Calibri" w:hAnsi="Calibri" w:cs="Times New Roman"/>
                <w:color w:val="000000"/>
                <w:lang w:eastAsia="de-DE"/>
              </w:rPr>
            </w:pPr>
            <w:r w:rsidRPr="001F2F9B">
              <w:rPr>
                <w:rFonts w:ascii="Calibri" w:hAnsi="Calibri" w:cs="Times New Roman"/>
                <w:color w:val="000000"/>
                <w:lang w:eastAsia="de-DE"/>
              </w:rPr>
              <w:t>Threat scenario</w:t>
            </w:r>
          </w:p>
        </w:tc>
        <w:tc>
          <w:tcPr>
            <w:tcW w:w="7051" w:type="dxa"/>
            <w:noWrap/>
            <w:hideMark/>
          </w:tcPr>
          <w:p w:rsidR="00CA1321" w:rsidRPr="001F2F9B" w:rsidRDefault="00CA1321" w:rsidP="005F6A2A">
            <w:pPr>
              <w:rPr>
                <w:lang w:eastAsia="de-DE"/>
              </w:rPr>
            </w:pPr>
            <w:r w:rsidRPr="001F2F9B">
              <w:rPr>
                <w:lang w:eastAsia="de-DE"/>
              </w:rPr>
              <w:t>A threat scenario is a general description of disturbances in the security environment. It presents the impact mechanism, source, target and impact on the target, probability and the most serious disturbances in the threat scenario that are identified.</w:t>
            </w:r>
          </w:p>
        </w:tc>
      </w:tr>
      <w:tr w:rsidR="00CA1321" w:rsidRPr="001F2F9B" w:rsidTr="005F6A2A">
        <w:trPr>
          <w:trHeight w:val="300"/>
        </w:trPr>
        <w:tc>
          <w:tcPr>
            <w:tcW w:w="2341" w:type="dxa"/>
            <w:noWrap/>
            <w:hideMark/>
          </w:tcPr>
          <w:p w:rsidR="00CA1321" w:rsidRPr="001F2F9B" w:rsidRDefault="00CA1321" w:rsidP="005F6A2A">
            <w:pPr>
              <w:jc w:val="left"/>
              <w:rPr>
                <w:rFonts w:ascii="Calibri" w:hAnsi="Calibri" w:cs="Times New Roman"/>
                <w:color w:val="000000"/>
                <w:lang w:eastAsia="de-DE"/>
              </w:rPr>
            </w:pPr>
          </w:p>
        </w:tc>
        <w:tc>
          <w:tcPr>
            <w:tcW w:w="7051" w:type="dxa"/>
            <w:noWrap/>
            <w:hideMark/>
          </w:tcPr>
          <w:p w:rsidR="00CA1321" w:rsidRPr="001F2F9B" w:rsidRDefault="00CA1321" w:rsidP="005F6A2A">
            <w:pPr>
              <w:jc w:val="left"/>
              <w:rPr>
                <w:rFonts w:ascii="Calibri" w:hAnsi="Calibri" w:cs="Times New Roman"/>
                <w:color w:val="000000"/>
                <w:lang w:eastAsia="de-DE"/>
              </w:rPr>
            </w:pPr>
          </w:p>
        </w:tc>
      </w:tr>
      <w:tr w:rsidR="00CA1321" w:rsidRPr="001F2F9B" w:rsidTr="005F6A2A">
        <w:trPr>
          <w:trHeight w:val="300"/>
        </w:trPr>
        <w:tc>
          <w:tcPr>
            <w:tcW w:w="2341" w:type="dxa"/>
            <w:noWrap/>
            <w:hideMark/>
          </w:tcPr>
          <w:p w:rsidR="00CA1321" w:rsidRPr="001F2F9B" w:rsidRDefault="00CA1321" w:rsidP="005F6A2A">
            <w:pPr>
              <w:jc w:val="left"/>
              <w:rPr>
                <w:rFonts w:ascii="Calibri" w:hAnsi="Calibri" w:cs="Times New Roman"/>
                <w:color w:val="000000"/>
                <w:lang w:eastAsia="de-DE"/>
              </w:rPr>
            </w:pPr>
          </w:p>
        </w:tc>
        <w:tc>
          <w:tcPr>
            <w:tcW w:w="7051" w:type="dxa"/>
            <w:noWrap/>
            <w:hideMark/>
          </w:tcPr>
          <w:p w:rsidR="00CA1321" w:rsidRPr="001F2F9B" w:rsidRDefault="00CA1321" w:rsidP="005F6A2A">
            <w:pPr>
              <w:jc w:val="left"/>
              <w:rPr>
                <w:rFonts w:ascii="Calibri" w:hAnsi="Calibri" w:cs="Times New Roman"/>
                <w:color w:val="000000"/>
                <w:lang w:eastAsia="de-DE"/>
              </w:rPr>
            </w:pPr>
          </w:p>
        </w:tc>
      </w:tr>
    </w:tbl>
    <w:p w:rsidR="00CA1321" w:rsidRPr="001F2F9B" w:rsidRDefault="00CA1321" w:rsidP="00CA1321"/>
    <w:p w:rsidR="00CA1321" w:rsidRPr="001F2F9B" w:rsidRDefault="00CA1321" w:rsidP="004C232D">
      <w:pPr>
        <w:pStyle w:val="berschrift1"/>
        <w:numPr>
          <w:ilvl w:val="0"/>
          <w:numId w:val="8"/>
        </w:numPr>
        <w:rPr>
          <w:lang w:val="en-GB"/>
        </w:rPr>
      </w:pPr>
      <w:bookmarkStart w:id="24" w:name="_Toc444087608"/>
      <w:bookmarkStart w:id="25" w:name="_Toc444176181"/>
      <w:bookmarkStart w:id="26" w:name="_Toc445378504"/>
      <w:r w:rsidRPr="001F2F9B">
        <w:rPr>
          <w:lang w:val="en-GB"/>
        </w:rPr>
        <w:lastRenderedPageBreak/>
        <w:t>Policy</w:t>
      </w:r>
      <w:bookmarkEnd w:id="24"/>
      <w:bookmarkEnd w:id="25"/>
      <w:bookmarkEnd w:id="26"/>
      <w:r w:rsidRPr="001F2F9B">
        <w:rPr>
          <w:lang w:val="en-GB"/>
        </w:rPr>
        <w:t xml:space="preserve"> </w:t>
      </w:r>
    </w:p>
    <w:p w:rsidR="00CA1321" w:rsidRPr="001F2F9B" w:rsidRDefault="00CA1321" w:rsidP="00CA1321">
      <w:pPr>
        <w:pStyle w:val="berschrift2"/>
        <w:ind w:left="576" w:hanging="576"/>
        <w:rPr>
          <w:lang w:val="en-GB"/>
        </w:rPr>
      </w:pPr>
      <w:bookmarkStart w:id="27" w:name="_Toc444087609"/>
      <w:bookmarkStart w:id="28" w:name="_Toc444176182"/>
      <w:bookmarkStart w:id="29" w:name="_Toc445378505"/>
      <w:r w:rsidRPr="001F2F9B">
        <w:rPr>
          <w:lang w:val="en-GB"/>
        </w:rPr>
        <w:t>Risk Assessment</w:t>
      </w:r>
      <w:bookmarkEnd w:id="27"/>
      <w:bookmarkEnd w:id="28"/>
      <w:bookmarkEnd w:id="29"/>
      <w:r w:rsidRPr="001F2F9B">
        <w:rPr>
          <w:lang w:val="en-GB"/>
        </w:rPr>
        <w:t xml:space="preserve"> </w:t>
      </w:r>
    </w:p>
    <w:p w:rsidR="00CA1321" w:rsidRPr="001F2F9B" w:rsidRDefault="00CA1321" w:rsidP="00CA1321">
      <w:pPr>
        <w:pStyle w:val="berschrift3"/>
        <w:ind w:left="1288"/>
        <w:rPr>
          <w:lang w:val="en-GB"/>
        </w:rPr>
      </w:pPr>
      <w:bookmarkStart w:id="30" w:name="_Toc444087610"/>
      <w:bookmarkStart w:id="31" w:name="_Toc444176183"/>
      <w:bookmarkStart w:id="32" w:name="_Toc445378506"/>
      <w:r w:rsidRPr="001F2F9B">
        <w:rPr>
          <w:lang w:val="en-GB"/>
        </w:rPr>
        <w:t>Key risks and areas of concern</w:t>
      </w:r>
      <w:bookmarkEnd w:id="30"/>
      <w:bookmarkEnd w:id="31"/>
      <w:bookmarkEnd w:id="32"/>
    </w:p>
    <w:p w:rsidR="00CA1321" w:rsidRPr="001F2F9B" w:rsidRDefault="00CA1321" w:rsidP="00CA1321">
      <w:r w:rsidRPr="001F2F9B">
        <w:t xml:space="preserve">In Finland, the most likely types of </w:t>
      </w:r>
      <w:r w:rsidRPr="001F2F9B">
        <w:rPr>
          <w:rStyle w:val="Hervorhebung"/>
        </w:rPr>
        <w:t>natural disasters</w:t>
      </w:r>
      <w:r w:rsidRPr="001F2F9B">
        <w:t xml:space="preserve"> are hydro meteorological disasters with an emphasis on floods, storms, forest fires and problems caused by exceptional temperatures and drought. In addition to these, the Finnish Policy Framework also takes into account that Finnish people abroad can be affected by earthquakes, tsunamis and volcanic eruptions.</w:t>
      </w:r>
    </w:p>
    <w:p w:rsidR="00CA1321" w:rsidRPr="001F2F9B" w:rsidRDefault="00CA1321" w:rsidP="00CA1321">
      <w:r w:rsidRPr="001F2F9B">
        <w:t xml:space="preserve">The </w:t>
      </w:r>
      <w:r w:rsidRPr="001F2F9B">
        <w:rPr>
          <w:rStyle w:val="Hervorhebung"/>
        </w:rPr>
        <w:t>impact of climate change</w:t>
      </w:r>
      <w:r w:rsidRPr="001F2F9B">
        <w:t xml:space="preserve"> on Finland’s ecosystems and society is evaluated by the Finnish Environment Institute (FEI / SYKE (after the Finnish name))</w:t>
      </w:r>
      <w:r w:rsidRPr="001F2F9B">
        <w:rPr>
          <w:rStyle w:val="Funotenzeichen"/>
        </w:rPr>
        <w:t xml:space="preserve"> </w:t>
      </w:r>
      <w:r w:rsidRPr="001F2F9B">
        <w:rPr>
          <w:rStyle w:val="Funotenzeichen"/>
        </w:rPr>
        <w:footnoteReference w:id="3"/>
      </w:r>
      <w:r w:rsidRPr="001F2F9B">
        <w:t xml:space="preserve"> based on different climate change scenarios provided by the Finnish Meteorological Institute (FMI). The national strategy for adaptation to climate change of 2005</w:t>
      </w:r>
      <w:r w:rsidRPr="001F2F9B">
        <w:rPr>
          <w:rStyle w:val="Funotenzeichen"/>
        </w:rPr>
        <w:footnoteReference w:id="4"/>
      </w:r>
      <w:r w:rsidRPr="001F2F9B">
        <w:t xml:space="preserve"> was revised in 2014 and led to </w:t>
      </w:r>
      <w:r w:rsidRPr="001F2F9B">
        <w:rPr>
          <w:rStyle w:val="Hervorhebung"/>
        </w:rPr>
        <w:t>Finland’s National Climate Change Adaptation Plan 2022</w:t>
      </w:r>
      <w:r w:rsidRPr="001F2F9B">
        <w:rPr>
          <w:rStyle w:val="Funotenzeichen"/>
          <w:i/>
          <w:iCs/>
          <w:color w:val="5C2A59"/>
        </w:rPr>
        <w:footnoteReference w:id="5"/>
      </w:r>
      <w:r w:rsidRPr="001F2F9B">
        <w:t xml:space="preserve"> and a new </w:t>
      </w:r>
      <w:r w:rsidRPr="001F2F9B">
        <w:rPr>
          <w:i/>
        </w:rPr>
        <w:t>Climate Act</w:t>
      </w:r>
      <w:r w:rsidRPr="001F2F9B">
        <w:rPr>
          <w:rStyle w:val="Funotenzeichen"/>
          <w:i/>
        </w:rPr>
        <w:footnoteReference w:id="6"/>
      </w:r>
      <w:r w:rsidRPr="001F2F9B">
        <w:t xml:space="preserve"> (approved in 6.3.2015, see also ). According to the Adaption Plan (p.10 ff), in all scenarios the temperature rise in Finland is above what is expected in the global mean temperature. Estimations range from 2,3 up to 6 degrees. It is expected that climate change may raise the risk e.g. for floods, which is significantly important in urban areas.</w:t>
      </w:r>
    </w:p>
    <w:p w:rsidR="00CA1321" w:rsidRPr="001F2F9B" w:rsidRDefault="00CA1321" w:rsidP="00CA1321">
      <w:r w:rsidRPr="001F2F9B">
        <w:t xml:space="preserve">As can been seen from table 1 and 2, Finland is a country with a very low risk profile in terms of major natural disasters in general and of a specific type. The most disastrous incident for Finland in terms of natural disasters was the Tsunami in the Indian Ocean in 2004, which caused death for 179 Finnish citizens. </w:t>
      </w:r>
    </w:p>
    <w:p w:rsidR="00CA1321" w:rsidRPr="001F2F9B" w:rsidRDefault="00CA1321" w:rsidP="00CA1321">
      <w:r w:rsidRPr="001F2F9B">
        <w:t xml:space="preserve">Regarding </w:t>
      </w:r>
      <w:r w:rsidRPr="001F2F9B">
        <w:rPr>
          <w:rStyle w:val="Hervorhebung"/>
        </w:rPr>
        <w:t>man-made disasters</w:t>
      </w:r>
      <w:r w:rsidRPr="001F2F9B">
        <w:t>, there have been some technological disasters and transportation accidents. The sinking of the M/S Estonia in September 1994 is still the most disastrous civil security crisis in Finnish history. The ship with 989 people was en route from Tallinn to Stockholm over-night. The Estonia was in international waters but near Finnish territory, and therefore Finland was responsible for the international rescue operation. In total, 852 persons died.</w:t>
      </w:r>
      <w:r w:rsidRPr="001F2F9B">
        <w:rPr>
          <w:rStyle w:val="Funotenzeichen"/>
        </w:rPr>
        <w:footnoteReference w:id="7"/>
      </w:r>
    </w:p>
    <w:p w:rsidR="00CA1321" w:rsidRPr="001F2F9B" w:rsidRDefault="00CA1321" w:rsidP="00CA1321">
      <w:r w:rsidRPr="001F2F9B">
        <w:t xml:space="preserve">Due to Finland’s low risk profile, national hazard maps are mainly limited to flooding, which also are available for some urban areas like Helsinki and Pori. Regarding earthquake risk assessment, this is only needed by nuclear power plants, in addition to a thorough evaluation of the risk of coastal flooding which is regularly updated for their sites. Comparable single-hazard risk assessments also exist for specific </w:t>
      </w:r>
      <w:r w:rsidRPr="001F2F9B">
        <w:rPr>
          <w:rStyle w:val="Hervorhebung"/>
        </w:rPr>
        <w:t>man-made risks</w:t>
      </w:r>
      <w:r w:rsidRPr="001F2F9B">
        <w:t xml:space="preserve"> such as chemical incidents, air and shipping accidents. Nuclear risks are a significant threat in relation with the country having four nuclear reactors and a fifth under construction, as well as a number of significant cross-border nuclear risks from neighbouring countries like Russia.</w:t>
      </w:r>
      <w:r w:rsidRPr="001F2F9B">
        <w:rPr>
          <w:rStyle w:val="Funotenzeichen"/>
        </w:rPr>
        <w:footnoteReference w:id="8"/>
      </w:r>
    </w:p>
    <w:p w:rsidR="00CA1321" w:rsidRPr="001F2F9B" w:rsidRDefault="00CA1321" w:rsidP="00CA1321"/>
    <w:p w:rsidR="00CA1321" w:rsidRPr="001F2F9B" w:rsidRDefault="00CA1321" w:rsidP="00CA1321">
      <w:pPr>
        <w:pStyle w:val="Beschriftung"/>
      </w:pPr>
      <w:bookmarkStart w:id="33" w:name="_Toc444087669"/>
      <w:r w:rsidRPr="001F2F9B">
        <w:lastRenderedPageBreak/>
        <w:t xml:space="preserve">Table </w:t>
      </w:r>
      <w:r w:rsidRPr="001F2F9B">
        <w:fldChar w:fldCharType="begin"/>
      </w:r>
      <w:r w:rsidRPr="001F2F9B">
        <w:instrText xml:space="preserve"> SEQ Table \* ARABIC </w:instrText>
      </w:r>
      <w:r w:rsidRPr="001F2F9B">
        <w:fldChar w:fldCharType="separate"/>
      </w:r>
      <w:r>
        <w:rPr>
          <w:noProof/>
        </w:rPr>
        <w:t>2</w:t>
      </w:r>
      <w:r w:rsidRPr="001F2F9B">
        <w:fldChar w:fldCharType="end"/>
      </w:r>
      <w:r w:rsidRPr="001F2F9B">
        <w:t>: Disaster Risk of Finland and of neighbouring countries according to the World Risk Index 2014</w:t>
      </w:r>
      <w:bookmarkEnd w:id="33"/>
    </w:p>
    <w:tbl>
      <w:tblPr>
        <w:tblStyle w:val="FarbigesRaster-Akzent2"/>
        <w:tblW w:w="9356" w:type="dxa"/>
        <w:tblBorders>
          <w:top w:val="single" w:sz="4" w:space="0" w:color="5C2A59"/>
          <w:left w:val="single" w:sz="4" w:space="0" w:color="5C2A59"/>
          <w:bottom w:val="single" w:sz="4" w:space="0" w:color="5C2A59"/>
          <w:right w:val="single" w:sz="4" w:space="0" w:color="5C2A59"/>
          <w:insideH w:val="single" w:sz="4" w:space="0" w:color="5C2A59"/>
          <w:insideV w:val="single" w:sz="4" w:space="0" w:color="5C2A59"/>
        </w:tblBorders>
        <w:tblLook w:val="04A0" w:firstRow="1" w:lastRow="0" w:firstColumn="1" w:lastColumn="0" w:noHBand="0" w:noVBand="1"/>
      </w:tblPr>
      <w:tblGrid>
        <w:gridCol w:w="977"/>
        <w:gridCol w:w="1066"/>
        <w:gridCol w:w="833"/>
        <w:gridCol w:w="1260"/>
        <w:gridCol w:w="1517"/>
        <w:gridCol w:w="1574"/>
        <w:gridCol w:w="1439"/>
        <w:gridCol w:w="1343"/>
      </w:tblGrid>
      <w:tr w:rsidR="00CA1321" w:rsidRPr="001F2F9B" w:rsidTr="005F6A2A">
        <w:trPr>
          <w:cnfStyle w:val="100000000000" w:firstRow="1" w:lastRow="0" w:firstColumn="0" w:lastColumn="0" w:oddVBand="0" w:evenVBand="0" w:oddHBand="0" w:evenHBand="0" w:firstRowFirstColumn="0" w:firstRowLastColumn="0" w:lastRowFirstColumn="0" w:lastRowLastColumn="0"/>
          <w:trHeight w:val="900"/>
          <w:tblHeader/>
        </w:trPr>
        <w:tc>
          <w:tcPr>
            <w:cnfStyle w:val="001000000000" w:firstRow="0" w:lastRow="0" w:firstColumn="1" w:lastColumn="0" w:oddVBand="0" w:evenVBand="0" w:oddHBand="0" w:evenHBand="0" w:firstRowFirstColumn="0" w:firstRowLastColumn="0" w:lastRowFirstColumn="0" w:lastRowLastColumn="0"/>
            <w:tcW w:w="1000" w:type="dxa"/>
            <w:tcBorders>
              <w:bottom w:val="double" w:sz="4" w:space="0" w:color="5C2A59"/>
            </w:tcBorders>
            <w:shd w:val="clear" w:color="auto" w:fill="FAF5E6"/>
            <w:vAlign w:val="center"/>
            <w:hideMark/>
          </w:tcPr>
          <w:p w:rsidR="00CA1321" w:rsidRPr="001F2F9B" w:rsidRDefault="00CA1321" w:rsidP="005F6A2A">
            <w:pPr>
              <w:pStyle w:val="indent1"/>
              <w:tabs>
                <w:tab w:val="clear" w:pos="360"/>
                <w:tab w:val="left" w:pos="708"/>
              </w:tabs>
              <w:spacing w:line="276" w:lineRule="auto"/>
              <w:ind w:left="0" w:firstLine="0"/>
              <w:jc w:val="center"/>
              <w:rPr>
                <w:rFonts w:ascii="Century Gothic" w:hAnsi="Century Gothic" w:cs="Arial"/>
                <w:b w:val="0"/>
                <w:color w:val="auto"/>
              </w:rPr>
            </w:pPr>
            <w:r w:rsidRPr="001F2F9B">
              <w:rPr>
                <w:rFonts w:ascii="Century Gothic" w:hAnsi="Century Gothic" w:cs="Arial"/>
                <w:b w:val="0"/>
                <w:color w:val="auto"/>
              </w:rPr>
              <w:t>Overall Rank</w:t>
            </w:r>
          </w:p>
        </w:tc>
        <w:tc>
          <w:tcPr>
            <w:tcW w:w="1200" w:type="dxa"/>
            <w:tcBorders>
              <w:bottom w:val="double" w:sz="4" w:space="0" w:color="5C2A59"/>
            </w:tcBorders>
            <w:shd w:val="clear" w:color="auto" w:fill="FAF5E6"/>
            <w:vAlign w:val="center"/>
            <w:hideMark/>
          </w:tcPr>
          <w:p w:rsidR="00CA1321" w:rsidRPr="001F2F9B" w:rsidRDefault="00CA1321" w:rsidP="005F6A2A">
            <w:pPr>
              <w:pStyle w:val="indent1"/>
              <w:tabs>
                <w:tab w:val="clear" w:pos="360"/>
                <w:tab w:val="left" w:pos="708"/>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rPr>
            </w:pPr>
            <w:r w:rsidRPr="001F2F9B">
              <w:rPr>
                <w:rFonts w:ascii="Century Gothic" w:hAnsi="Century Gothic" w:cs="Arial"/>
                <w:b w:val="0"/>
              </w:rPr>
              <w:t>Country</w:t>
            </w:r>
          </w:p>
        </w:tc>
        <w:tc>
          <w:tcPr>
            <w:tcW w:w="1500" w:type="dxa"/>
            <w:tcBorders>
              <w:bottom w:val="double" w:sz="4" w:space="0" w:color="5C2A59"/>
            </w:tcBorders>
            <w:shd w:val="clear" w:color="auto" w:fill="FAF5E6"/>
            <w:vAlign w:val="center"/>
            <w:hideMark/>
          </w:tcPr>
          <w:p w:rsidR="00CA1321" w:rsidRPr="001F2F9B" w:rsidRDefault="00CA1321" w:rsidP="005F6A2A">
            <w:pPr>
              <w:pStyle w:val="indent1"/>
              <w:tabs>
                <w:tab w:val="clear" w:pos="360"/>
                <w:tab w:val="left" w:pos="708"/>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rPr>
            </w:pPr>
            <w:r w:rsidRPr="001F2F9B">
              <w:rPr>
                <w:rFonts w:ascii="Century Gothic" w:hAnsi="Century Gothic" w:cs="Arial"/>
                <w:b w:val="0"/>
              </w:rPr>
              <w:t>World risk index</w:t>
            </w:r>
          </w:p>
        </w:tc>
        <w:tc>
          <w:tcPr>
            <w:tcW w:w="1500" w:type="dxa"/>
            <w:tcBorders>
              <w:bottom w:val="double" w:sz="4" w:space="0" w:color="5C2A59"/>
            </w:tcBorders>
            <w:shd w:val="clear" w:color="auto" w:fill="FAF5E6"/>
            <w:vAlign w:val="center"/>
            <w:hideMark/>
          </w:tcPr>
          <w:p w:rsidR="00CA1321" w:rsidRPr="001F2F9B" w:rsidRDefault="00CA1321" w:rsidP="005F6A2A">
            <w:pPr>
              <w:pStyle w:val="indent1"/>
              <w:tabs>
                <w:tab w:val="clear" w:pos="360"/>
                <w:tab w:val="left" w:pos="708"/>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rPr>
            </w:pPr>
            <w:r w:rsidRPr="001F2F9B">
              <w:rPr>
                <w:rFonts w:ascii="Century Gothic" w:hAnsi="Century Gothic" w:cs="Arial"/>
                <w:b w:val="0"/>
              </w:rPr>
              <w:t>Exposition</w:t>
            </w:r>
          </w:p>
        </w:tc>
        <w:tc>
          <w:tcPr>
            <w:tcW w:w="1500" w:type="dxa"/>
            <w:tcBorders>
              <w:bottom w:val="double" w:sz="4" w:space="0" w:color="5C2A59"/>
            </w:tcBorders>
            <w:shd w:val="clear" w:color="auto" w:fill="FAF5E6"/>
            <w:vAlign w:val="center"/>
            <w:hideMark/>
          </w:tcPr>
          <w:p w:rsidR="00CA1321" w:rsidRPr="001F2F9B" w:rsidRDefault="00CA1321" w:rsidP="005F6A2A">
            <w:pPr>
              <w:pStyle w:val="indent1"/>
              <w:tabs>
                <w:tab w:val="clear" w:pos="360"/>
                <w:tab w:val="left" w:pos="708"/>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rPr>
            </w:pPr>
            <w:r w:rsidRPr="001F2F9B">
              <w:rPr>
                <w:rFonts w:ascii="Century Gothic" w:hAnsi="Century Gothic" w:cs="Arial"/>
                <w:b w:val="0"/>
              </w:rPr>
              <w:t>Vulnerability</w:t>
            </w:r>
          </w:p>
        </w:tc>
        <w:tc>
          <w:tcPr>
            <w:tcW w:w="1500" w:type="dxa"/>
            <w:tcBorders>
              <w:bottom w:val="double" w:sz="4" w:space="0" w:color="5C2A59"/>
            </w:tcBorders>
            <w:shd w:val="clear" w:color="auto" w:fill="FAF5E6"/>
            <w:vAlign w:val="center"/>
            <w:hideMark/>
          </w:tcPr>
          <w:p w:rsidR="00CA1321" w:rsidRPr="001F2F9B" w:rsidRDefault="00CA1321" w:rsidP="005F6A2A">
            <w:pPr>
              <w:pStyle w:val="indent1"/>
              <w:tabs>
                <w:tab w:val="clear" w:pos="360"/>
                <w:tab w:val="left" w:pos="708"/>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rPr>
            </w:pPr>
            <w:r w:rsidRPr="001F2F9B">
              <w:rPr>
                <w:rFonts w:ascii="Century Gothic" w:hAnsi="Century Gothic" w:cs="Arial"/>
                <w:b w:val="0"/>
              </w:rPr>
              <w:t>Susceptibility</w:t>
            </w:r>
          </w:p>
        </w:tc>
        <w:tc>
          <w:tcPr>
            <w:tcW w:w="1500" w:type="dxa"/>
            <w:tcBorders>
              <w:bottom w:val="double" w:sz="4" w:space="0" w:color="5C2A59"/>
            </w:tcBorders>
            <w:shd w:val="clear" w:color="auto" w:fill="FAF5E6"/>
            <w:vAlign w:val="center"/>
            <w:hideMark/>
          </w:tcPr>
          <w:p w:rsidR="00CA1321" w:rsidRPr="001F2F9B" w:rsidRDefault="00CA1321" w:rsidP="005F6A2A">
            <w:pPr>
              <w:pStyle w:val="indent1"/>
              <w:tabs>
                <w:tab w:val="clear" w:pos="360"/>
                <w:tab w:val="left" w:pos="708"/>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rPr>
            </w:pPr>
            <w:r w:rsidRPr="001F2F9B">
              <w:rPr>
                <w:rFonts w:ascii="Century Gothic" w:hAnsi="Century Gothic" w:cs="Arial"/>
                <w:b w:val="0"/>
              </w:rPr>
              <w:t>Lack of coping capabilities</w:t>
            </w:r>
          </w:p>
        </w:tc>
        <w:tc>
          <w:tcPr>
            <w:tcW w:w="1500" w:type="dxa"/>
            <w:tcBorders>
              <w:bottom w:val="double" w:sz="4" w:space="0" w:color="5C2A59"/>
            </w:tcBorders>
            <w:shd w:val="clear" w:color="auto" w:fill="FAF5E6"/>
            <w:vAlign w:val="center"/>
            <w:hideMark/>
          </w:tcPr>
          <w:p w:rsidR="00CA1321" w:rsidRPr="001F2F9B" w:rsidRDefault="00CA1321" w:rsidP="005F6A2A">
            <w:pPr>
              <w:pStyle w:val="indent1"/>
              <w:tabs>
                <w:tab w:val="clear" w:pos="360"/>
                <w:tab w:val="left" w:pos="708"/>
              </w:tabs>
              <w:spacing w:line="276" w:lineRule="auto"/>
              <w:ind w:left="0" w:firstLine="0"/>
              <w:jc w:val="center"/>
              <w:cnfStyle w:val="100000000000" w:firstRow="1" w:lastRow="0" w:firstColumn="0" w:lastColumn="0" w:oddVBand="0" w:evenVBand="0" w:oddHBand="0" w:evenHBand="0" w:firstRowFirstColumn="0" w:firstRowLastColumn="0" w:lastRowFirstColumn="0" w:lastRowLastColumn="0"/>
              <w:rPr>
                <w:rFonts w:ascii="Century Gothic" w:hAnsi="Century Gothic" w:cs="Arial"/>
                <w:b w:val="0"/>
              </w:rPr>
            </w:pPr>
            <w:r w:rsidRPr="001F2F9B">
              <w:rPr>
                <w:rFonts w:ascii="Century Gothic" w:hAnsi="Century Gothic" w:cs="Arial"/>
                <w:b w:val="0"/>
              </w:rPr>
              <w:t>Lack of adaptive capacities</w:t>
            </w:r>
          </w:p>
        </w:tc>
      </w:tr>
      <w:tr w:rsidR="00CA1321" w:rsidRPr="001F2F9B" w:rsidTr="005F6A2A">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000" w:firstRow="0" w:lastRow="0" w:firstColumn="1" w:lastColumn="0" w:oddVBand="0" w:evenVBand="0" w:oddHBand="0" w:evenHBand="0" w:firstRowFirstColumn="0" w:firstRowLastColumn="0" w:lastRowFirstColumn="0" w:lastRowLastColumn="0"/>
            <w:tcW w:w="1000" w:type="dxa"/>
            <w:tcBorders>
              <w:top w:val="double" w:sz="4" w:space="0" w:color="5C2A59"/>
              <w:bottom w:val="wave" w:sz="6" w:space="0" w:color="5C2A59"/>
            </w:tcBorders>
            <w:shd w:val="clear" w:color="auto" w:fill="auto"/>
            <w:vAlign w:val="center"/>
            <w:hideMark/>
          </w:tcPr>
          <w:p w:rsidR="00CA1321" w:rsidRPr="001F2F9B" w:rsidRDefault="00CA1321" w:rsidP="005F6A2A">
            <w:pPr>
              <w:jc w:val="center"/>
              <w:rPr>
                <w:b w:val="0"/>
                <w:color w:val="808080" w:themeColor="background1" w:themeShade="80"/>
                <w:lang w:eastAsia="de-DE"/>
              </w:rPr>
            </w:pPr>
            <w:r w:rsidRPr="001F2F9B">
              <w:rPr>
                <w:b w:val="0"/>
                <w:color w:val="808080" w:themeColor="background1" w:themeShade="80"/>
                <w:lang w:eastAsia="de-DE"/>
              </w:rPr>
              <w:t>1.</w:t>
            </w:r>
          </w:p>
        </w:tc>
        <w:tc>
          <w:tcPr>
            <w:tcW w:w="1200" w:type="dxa"/>
            <w:tcBorders>
              <w:top w:val="double" w:sz="4" w:space="0" w:color="5C2A59"/>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rFonts w:cs="Arial"/>
                <w:b w:val="0"/>
                <w:color w:val="808080" w:themeColor="background1" w:themeShade="80"/>
                <w:lang w:eastAsia="de-DE"/>
              </w:rPr>
            </w:pPr>
            <w:r w:rsidRPr="001F2F9B">
              <w:rPr>
                <w:rFonts w:cs="Arial"/>
                <w:b w:val="0"/>
                <w:color w:val="808080" w:themeColor="background1" w:themeShade="80"/>
                <w:lang w:eastAsia="de-DE"/>
              </w:rPr>
              <w:t>Vanuatu</w:t>
            </w:r>
          </w:p>
        </w:tc>
        <w:tc>
          <w:tcPr>
            <w:tcW w:w="1500" w:type="dxa"/>
            <w:tcBorders>
              <w:top w:val="double" w:sz="4" w:space="0" w:color="5C2A59"/>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36,50</w:t>
            </w:r>
          </w:p>
        </w:tc>
        <w:tc>
          <w:tcPr>
            <w:tcW w:w="1500" w:type="dxa"/>
            <w:tcBorders>
              <w:top w:val="double" w:sz="4" w:space="0" w:color="5C2A59"/>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63,66</w:t>
            </w:r>
          </w:p>
        </w:tc>
        <w:tc>
          <w:tcPr>
            <w:tcW w:w="1500" w:type="dxa"/>
            <w:tcBorders>
              <w:top w:val="double" w:sz="4" w:space="0" w:color="5C2A59"/>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57,34</w:t>
            </w:r>
          </w:p>
        </w:tc>
        <w:tc>
          <w:tcPr>
            <w:tcW w:w="1500" w:type="dxa"/>
            <w:tcBorders>
              <w:top w:val="double" w:sz="4" w:space="0" w:color="5C2A59"/>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36,40</w:t>
            </w:r>
          </w:p>
        </w:tc>
        <w:tc>
          <w:tcPr>
            <w:tcW w:w="1500" w:type="dxa"/>
            <w:tcBorders>
              <w:top w:val="double" w:sz="4" w:space="0" w:color="5C2A59"/>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81,16</w:t>
            </w:r>
          </w:p>
        </w:tc>
        <w:tc>
          <w:tcPr>
            <w:tcW w:w="1500" w:type="dxa"/>
            <w:tcBorders>
              <w:top w:val="double" w:sz="4" w:space="0" w:color="5C2A59"/>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54,45</w:t>
            </w:r>
          </w:p>
        </w:tc>
      </w:tr>
      <w:tr w:rsidR="00CA1321" w:rsidRPr="001F2F9B" w:rsidTr="005F6A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00" w:type="dxa"/>
            <w:tcBorders>
              <w:top w:val="wave" w:sz="6" w:space="0" w:color="5C2A59"/>
            </w:tcBorders>
            <w:shd w:val="clear" w:color="auto" w:fill="auto"/>
            <w:vAlign w:val="center"/>
            <w:hideMark/>
          </w:tcPr>
          <w:p w:rsidR="00CA1321" w:rsidRPr="001F2F9B" w:rsidRDefault="00CA1321" w:rsidP="005F6A2A">
            <w:pPr>
              <w:jc w:val="center"/>
              <w:rPr>
                <w:b w:val="0"/>
                <w:color w:val="auto"/>
                <w:lang w:eastAsia="de-DE"/>
              </w:rPr>
            </w:pPr>
            <w:r w:rsidRPr="001F2F9B">
              <w:rPr>
                <w:b w:val="0"/>
                <w:color w:val="auto"/>
                <w:lang w:eastAsia="de-DE"/>
              </w:rPr>
              <w:t>128.</w:t>
            </w:r>
          </w:p>
        </w:tc>
        <w:tc>
          <w:tcPr>
            <w:tcW w:w="12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rFonts w:cs="Arial"/>
                <w:b w:val="0"/>
                <w:lang w:eastAsia="de-DE"/>
              </w:rPr>
            </w:pPr>
            <w:r w:rsidRPr="001F2F9B">
              <w:rPr>
                <w:rFonts w:cs="Arial"/>
                <w:b w:val="0"/>
                <w:lang w:eastAsia="de-DE"/>
              </w:rPr>
              <w:t>Russia</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3,85</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9,38</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41,05</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21,59</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58,80</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42,76</w:t>
            </w:r>
          </w:p>
        </w:tc>
      </w:tr>
      <w:tr w:rsidR="00CA1321" w:rsidRPr="001F2F9B" w:rsidTr="005F6A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vAlign w:val="center"/>
            <w:hideMark/>
          </w:tcPr>
          <w:p w:rsidR="00CA1321" w:rsidRPr="001F2F9B" w:rsidRDefault="00CA1321" w:rsidP="005F6A2A">
            <w:pPr>
              <w:jc w:val="center"/>
              <w:rPr>
                <w:b w:val="0"/>
                <w:color w:val="auto"/>
                <w:lang w:eastAsia="de-DE"/>
              </w:rPr>
            </w:pPr>
            <w:r w:rsidRPr="001F2F9B">
              <w:rPr>
                <w:b w:val="0"/>
                <w:color w:val="auto"/>
                <w:lang w:eastAsia="de-DE"/>
              </w:rPr>
              <w:t>138.</w:t>
            </w:r>
          </w:p>
        </w:tc>
        <w:tc>
          <w:tcPr>
            <w:tcW w:w="12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rFonts w:cs="Arial"/>
                <w:b w:val="0"/>
                <w:lang w:eastAsia="de-DE"/>
              </w:rPr>
            </w:pPr>
            <w:r w:rsidRPr="001F2F9B">
              <w:rPr>
                <w:rFonts w:cs="Arial"/>
                <w:b w:val="0"/>
                <w:lang w:eastAsia="de-DE"/>
              </w:rPr>
              <w:t>Latvia</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3,45</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9,26</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37,30</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21,12</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55,19</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35,57</w:t>
            </w:r>
          </w:p>
        </w:tc>
      </w:tr>
      <w:tr w:rsidR="00CA1321" w:rsidRPr="001F2F9B" w:rsidTr="005F6A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vAlign w:val="center"/>
            <w:hideMark/>
          </w:tcPr>
          <w:p w:rsidR="00CA1321" w:rsidRPr="001F2F9B" w:rsidRDefault="00CA1321" w:rsidP="005F6A2A">
            <w:pPr>
              <w:jc w:val="center"/>
              <w:rPr>
                <w:b w:val="0"/>
                <w:color w:val="auto"/>
                <w:lang w:eastAsia="de-DE"/>
              </w:rPr>
            </w:pPr>
            <w:r w:rsidRPr="001F2F9B">
              <w:rPr>
                <w:b w:val="0"/>
                <w:color w:val="auto"/>
                <w:lang w:eastAsia="de-DE"/>
              </w:rPr>
              <w:t>146.</w:t>
            </w:r>
          </w:p>
        </w:tc>
        <w:tc>
          <w:tcPr>
            <w:tcW w:w="12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rFonts w:cs="Arial"/>
                <w:b w:val="0"/>
                <w:lang w:eastAsia="de-DE"/>
              </w:rPr>
            </w:pPr>
            <w:r w:rsidRPr="001F2F9B">
              <w:rPr>
                <w:rFonts w:cs="Arial"/>
                <w:b w:val="0"/>
                <w:lang w:eastAsia="de-DE"/>
              </w:rPr>
              <w:t>Lithuania</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3,01</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8,88</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33,91</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18,58</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49,36</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33,78</w:t>
            </w:r>
          </w:p>
        </w:tc>
      </w:tr>
      <w:tr w:rsidR="00CA1321" w:rsidRPr="001F2F9B" w:rsidTr="005F6A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00" w:type="dxa"/>
            <w:shd w:val="clear" w:color="auto" w:fill="auto"/>
            <w:vAlign w:val="center"/>
            <w:hideMark/>
          </w:tcPr>
          <w:p w:rsidR="00CA1321" w:rsidRPr="001F2F9B" w:rsidRDefault="00CA1321" w:rsidP="005F6A2A">
            <w:pPr>
              <w:jc w:val="center"/>
              <w:rPr>
                <w:b w:val="0"/>
                <w:color w:val="auto"/>
                <w:lang w:eastAsia="de-DE"/>
              </w:rPr>
            </w:pPr>
            <w:r w:rsidRPr="001F2F9B">
              <w:rPr>
                <w:b w:val="0"/>
                <w:color w:val="auto"/>
                <w:lang w:eastAsia="de-DE"/>
              </w:rPr>
              <w:t>156.</w:t>
            </w:r>
          </w:p>
        </w:tc>
        <w:tc>
          <w:tcPr>
            <w:tcW w:w="12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rFonts w:cs="Arial"/>
                <w:b w:val="0"/>
                <w:lang w:eastAsia="de-DE"/>
              </w:rPr>
            </w:pPr>
            <w:r w:rsidRPr="001F2F9B">
              <w:rPr>
                <w:rFonts w:cs="Arial"/>
                <w:b w:val="0"/>
                <w:lang w:eastAsia="de-DE"/>
              </w:rPr>
              <w:t>Estonia</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2,43</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7,23</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33,57</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18,67</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51,15</w:t>
            </w:r>
          </w:p>
        </w:tc>
        <w:tc>
          <w:tcPr>
            <w:tcW w:w="1500" w:type="dxa"/>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30,89</w:t>
            </w:r>
          </w:p>
        </w:tc>
      </w:tr>
      <w:tr w:rsidR="00CA1321" w:rsidRPr="001F2F9B" w:rsidTr="005F6A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00" w:type="dxa"/>
            <w:tcBorders>
              <w:bottom w:val="single" w:sz="4" w:space="0" w:color="5C2A59"/>
            </w:tcBorders>
            <w:shd w:val="clear" w:color="auto" w:fill="auto"/>
            <w:vAlign w:val="center"/>
            <w:hideMark/>
          </w:tcPr>
          <w:p w:rsidR="00CA1321" w:rsidRPr="001F2F9B" w:rsidRDefault="00CA1321" w:rsidP="005F6A2A">
            <w:pPr>
              <w:jc w:val="center"/>
              <w:rPr>
                <w:b w:val="0"/>
                <w:color w:val="auto"/>
                <w:lang w:eastAsia="de-DE"/>
              </w:rPr>
            </w:pPr>
            <w:r w:rsidRPr="001F2F9B">
              <w:rPr>
                <w:b w:val="0"/>
                <w:color w:val="auto"/>
                <w:lang w:eastAsia="de-DE"/>
              </w:rPr>
              <w:t>158.</w:t>
            </w:r>
          </w:p>
        </w:tc>
        <w:tc>
          <w:tcPr>
            <w:tcW w:w="1200" w:type="dxa"/>
            <w:tcBorders>
              <w:bottom w:val="single" w:sz="4"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rFonts w:cs="Arial"/>
                <w:b w:val="0"/>
                <w:lang w:eastAsia="de-DE"/>
              </w:rPr>
            </w:pPr>
            <w:r w:rsidRPr="001F2F9B">
              <w:rPr>
                <w:rFonts w:cs="Arial"/>
                <w:b w:val="0"/>
                <w:lang w:eastAsia="de-DE"/>
              </w:rPr>
              <w:t>Norway</w:t>
            </w:r>
          </w:p>
        </w:tc>
        <w:tc>
          <w:tcPr>
            <w:tcW w:w="1500" w:type="dxa"/>
            <w:tcBorders>
              <w:bottom w:val="single" w:sz="4"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2,31</w:t>
            </w:r>
          </w:p>
        </w:tc>
        <w:tc>
          <w:tcPr>
            <w:tcW w:w="1500" w:type="dxa"/>
            <w:tcBorders>
              <w:bottom w:val="single" w:sz="4"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8,58</w:t>
            </w:r>
          </w:p>
        </w:tc>
        <w:tc>
          <w:tcPr>
            <w:tcW w:w="1500" w:type="dxa"/>
            <w:tcBorders>
              <w:bottom w:val="single" w:sz="4"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26,86</w:t>
            </w:r>
          </w:p>
        </w:tc>
        <w:tc>
          <w:tcPr>
            <w:tcW w:w="1500" w:type="dxa"/>
            <w:tcBorders>
              <w:bottom w:val="single" w:sz="4"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14,41</w:t>
            </w:r>
          </w:p>
        </w:tc>
        <w:tc>
          <w:tcPr>
            <w:tcW w:w="1500" w:type="dxa"/>
            <w:tcBorders>
              <w:bottom w:val="single" w:sz="4"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40,05</w:t>
            </w:r>
          </w:p>
        </w:tc>
        <w:tc>
          <w:tcPr>
            <w:tcW w:w="1500" w:type="dxa"/>
            <w:tcBorders>
              <w:bottom w:val="single" w:sz="4"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26,13</w:t>
            </w:r>
          </w:p>
        </w:tc>
      </w:tr>
      <w:tr w:rsidR="00CA1321" w:rsidRPr="001F2F9B" w:rsidTr="005F6A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00" w:type="dxa"/>
            <w:shd w:val="clear" w:color="auto" w:fill="5C2A59"/>
            <w:vAlign w:val="center"/>
            <w:hideMark/>
          </w:tcPr>
          <w:p w:rsidR="00CA1321" w:rsidRPr="001F2F9B" w:rsidRDefault="00CA1321" w:rsidP="005F6A2A">
            <w:pPr>
              <w:jc w:val="center"/>
              <w:rPr>
                <w:b w:val="0"/>
                <w:lang w:eastAsia="de-DE"/>
              </w:rPr>
            </w:pPr>
            <w:r w:rsidRPr="001F2F9B">
              <w:rPr>
                <w:b w:val="0"/>
                <w:lang w:eastAsia="de-DE"/>
              </w:rPr>
              <w:t>161.</w:t>
            </w:r>
          </w:p>
        </w:tc>
        <w:tc>
          <w:tcPr>
            <w:tcW w:w="1200" w:type="dxa"/>
            <w:shd w:val="clear" w:color="auto" w:fill="5C2A59"/>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eastAsia="de-DE"/>
              </w:rPr>
            </w:pPr>
            <w:r w:rsidRPr="001F2F9B">
              <w:rPr>
                <w:b w:val="0"/>
                <w:color w:val="FFFFFF" w:themeColor="background1"/>
                <w:lang w:eastAsia="de-DE"/>
              </w:rPr>
              <w:t>Finland</w:t>
            </w:r>
          </w:p>
        </w:tc>
        <w:tc>
          <w:tcPr>
            <w:tcW w:w="1500" w:type="dxa"/>
            <w:shd w:val="clear" w:color="auto" w:fill="5C2A59"/>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eastAsia="de-DE"/>
              </w:rPr>
            </w:pPr>
            <w:r w:rsidRPr="001F2F9B">
              <w:rPr>
                <w:b w:val="0"/>
                <w:color w:val="FFFFFF" w:themeColor="background1"/>
                <w:lang w:eastAsia="de-DE"/>
              </w:rPr>
              <w:t>2,24</w:t>
            </w:r>
          </w:p>
        </w:tc>
        <w:tc>
          <w:tcPr>
            <w:tcW w:w="1500" w:type="dxa"/>
            <w:shd w:val="clear" w:color="auto" w:fill="5C2A59"/>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eastAsia="de-DE"/>
              </w:rPr>
            </w:pPr>
            <w:r w:rsidRPr="001F2F9B">
              <w:rPr>
                <w:b w:val="0"/>
                <w:color w:val="FFFFFF" w:themeColor="background1"/>
                <w:lang w:eastAsia="de-DE"/>
              </w:rPr>
              <w:t>8,19</w:t>
            </w:r>
          </w:p>
        </w:tc>
        <w:tc>
          <w:tcPr>
            <w:tcW w:w="1500" w:type="dxa"/>
            <w:shd w:val="clear" w:color="auto" w:fill="5C2A59"/>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eastAsia="de-DE"/>
              </w:rPr>
            </w:pPr>
            <w:r w:rsidRPr="001F2F9B">
              <w:rPr>
                <w:b w:val="0"/>
                <w:color w:val="FFFFFF" w:themeColor="background1"/>
                <w:lang w:eastAsia="de-DE"/>
              </w:rPr>
              <w:t>27,38</w:t>
            </w:r>
          </w:p>
        </w:tc>
        <w:tc>
          <w:tcPr>
            <w:tcW w:w="1500" w:type="dxa"/>
            <w:shd w:val="clear" w:color="auto" w:fill="5C2A59"/>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eastAsia="de-DE"/>
              </w:rPr>
            </w:pPr>
            <w:r w:rsidRPr="001F2F9B">
              <w:rPr>
                <w:b w:val="0"/>
                <w:color w:val="FFFFFF" w:themeColor="background1"/>
                <w:lang w:eastAsia="de-DE"/>
              </w:rPr>
              <w:t>15,60</w:t>
            </w:r>
          </w:p>
        </w:tc>
        <w:tc>
          <w:tcPr>
            <w:tcW w:w="1500" w:type="dxa"/>
            <w:shd w:val="clear" w:color="auto" w:fill="5C2A59"/>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eastAsia="de-DE"/>
              </w:rPr>
            </w:pPr>
            <w:r w:rsidRPr="001F2F9B">
              <w:rPr>
                <w:b w:val="0"/>
                <w:color w:val="FFFFFF" w:themeColor="background1"/>
                <w:lang w:eastAsia="de-DE"/>
              </w:rPr>
              <w:t>39,39</w:t>
            </w:r>
          </w:p>
        </w:tc>
        <w:tc>
          <w:tcPr>
            <w:tcW w:w="1500" w:type="dxa"/>
            <w:shd w:val="clear" w:color="auto" w:fill="5C2A59"/>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FFFFFF" w:themeColor="background1"/>
                <w:lang w:eastAsia="de-DE"/>
              </w:rPr>
            </w:pPr>
            <w:r w:rsidRPr="001F2F9B">
              <w:rPr>
                <w:b w:val="0"/>
                <w:color w:val="FFFFFF" w:themeColor="background1"/>
                <w:lang w:eastAsia="de-DE"/>
              </w:rPr>
              <w:t>27,17</w:t>
            </w:r>
          </w:p>
        </w:tc>
      </w:tr>
      <w:tr w:rsidR="00CA1321" w:rsidRPr="001F2F9B" w:rsidTr="005F6A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00" w:type="dxa"/>
            <w:tcBorders>
              <w:bottom w:val="wave" w:sz="6" w:space="0" w:color="5C2A59"/>
            </w:tcBorders>
            <w:shd w:val="clear" w:color="auto" w:fill="auto"/>
            <w:vAlign w:val="center"/>
            <w:hideMark/>
          </w:tcPr>
          <w:p w:rsidR="00CA1321" w:rsidRPr="001F2F9B" w:rsidRDefault="00CA1321" w:rsidP="005F6A2A">
            <w:pPr>
              <w:jc w:val="center"/>
              <w:rPr>
                <w:b w:val="0"/>
                <w:lang w:eastAsia="de-DE"/>
              </w:rPr>
            </w:pPr>
            <w:r w:rsidRPr="001F2F9B">
              <w:rPr>
                <w:b w:val="0"/>
                <w:color w:val="auto"/>
                <w:lang w:eastAsia="de-DE"/>
              </w:rPr>
              <w:t>162.</w:t>
            </w:r>
          </w:p>
        </w:tc>
        <w:tc>
          <w:tcPr>
            <w:tcW w:w="1200" w:type="dxa"/>
            <w:tcBorders>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rFonts w:cs="Arial"/>
                <w:b w:val="0"/>
                <w:lang w:eastAsia="de-DE"/>
              </w:rPr>
            </w:pPr>
            <w:r w:rsidRPr="001F2F9B">
              <w:rPr>
                <w:rFonts w:cs="Arial"/>
                <w:b w:val="0"/>
                <w:lang w:eastAsia="de-DE"/>
              </w:rPr>
              <w:t>Sweden</w:t>
            </w:r>
          </w:p>
        </w:tc>
        <w:tc>
          <w:tcPr>
            <w:tcW w:w="1500" w:type="dxa"/>
            <w:tcBorders>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2,19</w:t>
            </w:r>
          </w:p>
        </w:tc>
        <w:tc>
          <w:tcPr>
            <w:tcW w:w="1500" w:type="dxa"/>
            <w:tcBorders>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7,97</w:t>
            </w:r>
          </w:p>
        </w:tc>
        <w:tc>
          <w:tcPr>
            <w:tcW w:w="1500" w:type="dxa"/>
            <w:tcBorders>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27,49</w:t>
            </w:r>
          </w:p>
        </w:tc>
        <w:tc>
          <w:tcPr>
            <w:tcW w:w="1500" w:type="dxa"/>
            <w:tcBorders>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15,39</w:t>
            </w:r>
          </w:p>
        </w:tc>
        <w:tc>
          <w:tcPr>
            <w:tcW w:w="1500" w:type="dxa"/>
            <w:tcBorders>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40,90</w:t>
            </w:r>
          </w:p>
        </w:tc>
        <w:tc>
          <w:tcPr>
            <w:tcW w:w="1500" w:type="dxa"/>
            <w:tcBorders>
              <w:bottom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lang w:eastAsia="de-DE"/>
              </w:rPr>
            </w:pPr>
            <w:r w:rsidRPr="001F2F9B">
              <w:rPr>
                <w:b w:val="0"/>
                <w:lang w:eastAsia="de-DE"/>
              </w:rPr>
              <w:t>26,18</w:t>
            </w:r>
          </w:p>
        </w:tc>
      </w:tr>
      <w:tr w:rsidR="00CA1321" w:rsidRPr="001F2F9B" w:rsidTr="005F6A2A">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000" w:type="dxa"/>
            <w:tcBorders>
              <w:top w:val="wave" w:sz="6" w:space="0" w:color="5C2A59"/>
            </w:tcBorders>
            <w:shd w:val="clear" w:color="auto" w:fill="auto"/>
            <w:vAlign w:val="center"/>
            <w:hideMark/>
          </w:tcPr>
          <w:p w:rsidR="00CA1321" w:rsidRPr="001F2F9B" w:rsidRDefault="00CA1321" w:rsidP="005F6A2A">
            <w:pPr>
              <w:jc w:val="center"/>
              <w:rPr>
                <w:b w:val="0"/>
                <w:color w:val="808080" w:themeColor="background1" w:themeShade="80"/>
                <w:lang w:eastAsia="de-DE"/>
              </w:rPr>
            </w:pPr>
            <w:r w:rsidRPr="001F2F9B">
              <w:rPr>
                <w:b w:val="0"/>
                <w:color w:val="808080" w:themeColor="background1" w:themeShade="80"/>
                <w:lang w:eastAsia="de-DE"/>
              </w:rPr>
              <w:t>171.</w:t>
            </w:r>
          </w:p>
        </w:tc>
        <w:tc>
          <w:tcPr>
            <w:tcW w:w="12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rFonts w:cs="Arial"/>
                <w:b w:val="0"/>
                <w:color w:val="808080" w:themeColor="background1" w:themeShade="80"/>
                <w:lang w:eastAsia="de-DE"/>
              </w:rPr>
            </w:pPr>
            <w:r w:rsidRPr="001F2F9B">
              <w:rPr>
                <w:rFonts w:cs="Arial"/>
                <w:b w:val="0"/>
                <w:color w:val="808080" w:themeColor="background1" w:themeShade="80"/>
                <w:lang w:eastAsia="de-DE"/>
              </w:rPr>
              <w:t>Qatar</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0,08</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0,28</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30,30</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8,97</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44,76</w:t>
            </w:r>
          </w:p>
        </w:tc>
        <w:tc>
          <w:tcPr>
            <w:tcW w:w="1500" w:type="dxa"/>
            <w:tcBorders>
              <w:top w:val="wave" w:sz="6" w:space="0" w:color="5C2A59"/>
            </w:tcBorders>
            <w:shd w:val="clear" w:color="auto" w:fill="auto"/>
            <w:vAlign w:val="center"/>
            <w:hideMark/>
          </w:tcPr>
          <w:p w:rsidR="00CA1321" w:rsidRPr="001F2F9B" w:rsidRDefault="00CA1321" w:rsidP="005F6A2A">
            <w:pPr>
              <w:jc w:val="center"/>
              <w:cnfStyle w:val="100000000000" w:firstRow="1" w:lastRow="0" w:firstColumn="0" w:lastColumn="0" w:oddVBand="0" w:evenVBand="0" w:oddHBand="0" w:evenHBand="0" w:firstRowFirstColumn="0" w:firstRowLastColumn="0" w:lastRowFirstColumn="0" w:lastRowLastColumn="0"/>
              <w:rPr>
                <w:b w:val="0"/>
                <w:color w:val="808080" w:themeColor="background1" w:themeShade="80"/>
                <w:lang w:eastAsia="de-DE"/>
              </w:rPr>
            </w:pPr>
            <w:r w:rsidRPr="001F2F9B">
              <w:rPr>
                <w:b w:val="0"/>
                <w:color w:val="808080" w:themeColor="background1" w:themeShade="80"/>
                <w:lang w:eastAsia="de-DE"/>
              </w:rPr>
              <w:t>37,16</w:t>
            </w:r>
          </w:p>
        </w:tc>
      </w:tr>
    </w:tbl>
    <w:p w:rsidR="00CA1321" w:rsidRPr="001F2F9B" w:rsidRDefault="00CA1321" w:rsidP="00CA1321">
      <w:pPr>
        <w:pStyle w:val="Beschriftung"/>
        <w:spacing w:before="120"/>
      </w:pPr>
      <w:r w:rsidRPr="001F2F9B">
        <w:t xml:space="preserve">Source: WorldRiskReport (WRR) 2014 by United Nations University - Institute for Environment and Human Security (UNU-EHS) </w:t>
      </w:r>
      <w:hyperlink r:id="rId11" w:history="1">
        <w:r w:rsidRPr="001F2F9B">
          <w:rPr>
            <w:rStyle w:val="Hyperlink"/>
          </w:rPr>
          <w:t>http://www.worldriskreport.com/</w:t>
        </w:r>
      </w:hyperlink>
      <w:r w:rsidRPr="001F2F9B">
        <w:t xml:space="preserve"> </w:t>
      </w:r>
    </w:p>
    <w:p w:rsidR="00CA1321" w:rsidRPr="001F2F9B" w:rsidRDefault="00CA1321" w:rsidP="00CA1321"/>
    <w:p w:rsidR="00CA1321" w:rsidRPr="001F2F9B" w:rsidRDefault="00CA1321" w:rsidP="00CA1321">
      <w:pPr>
        <w:pStyle w:val="Beschriftung"/>
      </w:pPr>
      <w:bookmarkStart w:id="34" w:name="_Toc444087670"/>
      <w:r w:rsidRPr="001F2F9B">
        <w:t xml:space="preserve">Table </w:t>
      </w:r>
      <w:r w:rsidRPr="001F2F9B">
        <w:fldChar w:fldCharType="begin"/>
      </w:r>
      <w:r w:rsidRPr="001F2F9B">
        <w:instrText xml:space="preserve"> SEQ Table \* ARABIC </w:instrText>
      </w:r>
      <w:r w:rsidRPr="001F2F9B">
        <w:fldChar w:fldCharType="separate"/>
      </w:r>
      <w:r>
        <w:rPr>
          <w:noProof/>
        </w:rPr>
        <w:t>3</w:t>
      </w:r>
      <w:r w:rsidRPr="001F2F9B">
        <w:fldChar w:fldCharType="end"/>
      </w:r>
      <w:r w:rsidRPr="001F2F9B">
        <w:t>: (Top 10) Natural Disasters in Finland for the period 1900 to 2014</w:t>
      </w:r>
      <w:bookmarkEnd w:id="34"/>
    </w:p>
    <w:tbl>
      <w:tblPr>
        <w:tblW w:w="0" w:type="auto"/>
        <w:tblBorders>
          <w:top w:val="single" w:sz="4" w:space="0" w:color="F47B20"/>
          <w:left w:val="single" w:sz="4" w:space="0" w:color="F47B20"/>
          <w:bottom w:val="single" w:sz="4" w:space="0" w:color="F47B20"/>
          <w:right w:val="single" w:sz="4" w:space="0" w:color="F47B20"/>
          <w:insideH w:val="single" w:sz="4" w:space="0" w:color="F47B20"/>
          <w:insideV w:val="single" w:sz="4" w:space="0" w:color="F47B20"/>
        </w:tblBorders>
        <w:tblLook w:val="00A0" w:firstRow="1" w:lastRow="0" w:firstColumn="1" w:lastColumn="0" w:noHBand="0" w:noVBand="0"/>
      </w:tblPr>
      <w:tblGrid>
        <w:gridCol w:w="1416"/>
        <w:gridCol w:w="1673"/>
        <w:gridCol w:w="961"/>
        <w:gridCol w:w="1295"/>
        <w:gridCol w:w="1223"/>
        <w:gridCol w:w="1245"/>
        <w:gridCol w:w="1249"/>
      </w:tblGrid>
      <w:tr w:rsidR="00CA1321" w:rsidRPr="001F2F9B" w:rsidTr="005F6A2A">
        <w:trPr>
          <w:trHeight w:val="562"/>
        </w:trPr>
        <w:tc>
          <w:tcPr>
            <w:tcW w:w="1485" w:type="dxa"/>
            <w:tcBorders>
              <w:top w:val="single" w:sz="4" w:space="0" w:color="5C2A59"/>
              <w:left w:val="single" w:sz="4" w:space="0" w:color="5C2A59"/>
              <w:bottom w:val="double" w:sz="4" w:space="0" w:color="5C2A59"/>
              <w:right w:val="single" w:sz="4" w:space="0" w:color="5C2A59"/>
            </w:tcBorders>
            <w:shd w:val="clear" w:color="auto" w:fill="FAF5E6"/>
            <w:vAlign w:val="center"/>
            <w:hideMark/>
          </w:tcPr>
          <w:p w:rsidR="00CA1321" w:rsidRPr="001F2F9B" w:rsidRDefault="00CA1321" w:rsidP="005F6A2A">
            <w:pPr>
              <w:jc w:val="center"/>
              <w:rPr>
                <w:rFonts w:ascii="Century Gothic" w:hAnsi="Century Gothic"/>
              </w:rPr>
            </w:pPr>
            <w:r w:rsidRPr="001F2F9B">
              <w:rPr>
                <w:rFonts w:ascii="Century Gothic" w:hAnsi="Century Gothic"/>
              </w:rPr>
              <w:t>Type of disaster</w:t>
            </w:r>
          </w:p>
        </w:tc>
        <w:tc>
          <w:tcPr>
            <w:tcW w:w="1742" w:type="dxa"/>
            <w:tcBorders>
              <w:top w:val="single" w:sz="4" w:space="0" w:color="5C2A59"/>
              <w:left w:val="single" w:sz="4" w:space="0" w:color="5C2A59"/>
              <w:bottom w:val="double" w:sz="4" w:space="0" w:color="5C2A59"/>
              <w:right w:val="single" w:sz="4" w:space="0" w:color="5C2A59"/>
            </w:tcBorders>
            <w:shd w:val="clear" w:color="auto" w:fill="FAF5E6"/>
            <w:vAlign w:val="center"/>
            <w:hideMark/>
          </w:tcPr>
          <w:p w:rsidR="00CA1321" w:rsidRPr="001F2F9B" w:rsidRDefault="00CA1321" w:rsidP="005F6A2A">
            <w:pPr>
              <w:jc w:val="center"/>
              <w:rPr>
                <w:rFonts w:ascii="Century Gothic" w:hAnsi="Century Gothic"/>
              </w:rPr>
            </w:pPr>
          </w:p>
        </w:tc>
        <w:tc>
          <w:tcPr>
            <w:tcW w:w="973" w:type="dxa"/>
            <w:tcBorders>
              <w:top w:val="single" w:sz="4" w:space="0" w:color="5C2A59"/>
              <w:left w:val="single" w:sz="4" w:space="0" w:color="5C2A59"/>
              <w:bottom w:val="double" w:sz="4" w:space="0" w:color="5C2A59"/>
              <w:right w:val="single" w:sz="4" w:space="0" w:color="5C2A59"/>
            </w:tcBorders>
            <w:shd w:val="clear" w:color="auto" w:fill="FAF5E6"/>
            <w:vAlign w:val="center"/>
          </w:tcPr>
          <w:p w:rsidR="00CA1321" w:rsidRPr="001F2F9B" w:rsidRDefault="00CA1321" w:rsidP="005F6A2A">
            <w:pPr>
              <w:jc w:val="center"/>
              <w:rPr>
                <w:rFonts w:ascii="Century Gothic" w:hAnsi="Century Gothic"/>
              </w:rPr>
            </w:pPr>
            <w:r w:rsidRPr="001F2F9B">
              <w:rPr>
                <w:rFonts w:ascii="Century Gothic" w:hAnsi="Century Gothic"/>
              </w:rPr>
              <w:t># of Events</w:t>
            </w:r>
          </w:p>
        </w:tc>
        <w:tc>
          <w:tcPr>
            <w:tcW w:w="1308" w:type="dxa"/>
            <w:tcBorders>
              <w:top w:val="single" w:sz="4" w:space="0" w:color="5C2A59"/>
              <w:left w:val="single" w:sz="4" w:space="0" w:color="5C2A59"/>
              <w:bottom w:val="double" w:sz="4" w:space="0" w:color="5C2A59"/>
              <w:right w:val="single" w:sz="4" w:space="0" w:color="5C2A59"/>
            </w:tcBorders>
            <w:shd w:val="clear" w:color="auto" w:fill="FAF5E6"/>
            <w:vAlign w:val="center"/>
          </w:tcPr>
          <w:p w:rsidR="00CA1321" w:rsidRPr="001F2F9B" w:rsidRDefault="00CA1321" w:rsidP="005F6A2A">
            <w:pPr>
              <w:jc w:val="center"/>
              <w:rPr>
                <w:rFonts w:ascii="Century Gothic" w:hAnsi="Century Gothic"/>
              </w:rPr>
            </w:pPr>
            <w:r w:rsidRPr="001F2F9B">
              <w:rPr>
                <w:rFonts w:ascii="Century Gothic" w:hAnsi="Century Gothic"/>
              </w:rPr>
              <w:t>Date</w:t>
            </w:r>
          </w:p>
        </w:tc>
        <w:tc>
          <w:tcPr>
            <w:tcW w:w="1257" w:type="dxa"/>
            <w:tcBorders>
              <w:top w:val="single" w:sz="4" w:space="0" w:color="5C2A59"/>
              <w:left w:val="single" w:sz="4" w:space="0" w:color="5C2A59"/>
              <w:bottom w:val="double" w:sz="4" w:space="0" w:color="5C2A59"/>
              <w:right w:val="single" w:sz="4" w:space="0" w:color="5C2A59"/>
            </w:tcBorders>
            <w:shd w:val="clear" w:color="auto" w:fill="FAF5E6"/>
            <w:vAlign w:val="center"/>
          </w:tcPr>
          <w:p w:rsidR="00CA1321" w:rsidRPr="001F2F9B" w:rsidRDefault="00CA1321" w:rsidP="005F6A2A">
            <w:pPr>
              <w:jc w:val="center"/>
              <w:rPr>
                <w:rFonts w:ascii="Century Gothic" w:hAnsi="Century Gothic"/>
              </w:rPr>
            </w:pPr>
            <w:r w:rsidRPr="001F2F9B">
              <w:rPr>
                <w:rFonts w:ascii="Century Gothic" w:hAnsi="Century Gothic"/>
              </w:rPr>
              <w:t># of persons killed</w:t>
            </w:r>
          </w:p>
        </w:tc>
        <w:tc>
          <w:tcPr>
            <w:tcW w:w="1260" w:type="dxa"/>
            <w:tcBorders>
              <w:top w:val="single" w:sz="4" w:space="0" w:color="5C2A59"/>
              <w:left w:val="single" w:sz="4" w:space="0" w:color="5C2A59"/>
              <w:bottom w:val="double" w:sz="4" w:space="0" w:color="5C2A59"/>
              <w:right w:val="single" w:sz="4" w:space="0" w:color="5C2A59"/>
            </w:tcBorders>
            <w:shd w:val="clear" w:color="auto" w:fill="FAF5E6"/>
            <w:vAlign w:val="center"/>
          </w:tcPr>
          <w:p w:rsidR="00CA1321" w:rsidRPr="001F2F9B" w:rsidRDefault="00CA1321" w:rsidP="005F6A2A">
            <w:pPr>
              <w:jc w:val="center"/>
              <w:rPr>
                <w:rFonts w:ascii="Century Gothic" w:hAnsi="Century Gothic"/>
              </w:rPr>
            </w:pPr>
            <w:r w:rsidRPr="001F2F9B">
              <w:rPr>
                <w:rFonts w:ascii="Century Gothic" w:hAnsi="Century Gothic"/>
              </w:rPr>
              <w:t># of persons affected</w:t>
            </w:r>
          </w:p>
        </w:tc>
        <w:tc>
          <w:tcPr>
            <w:tcW w:w="1261" w:type="dxa"/>
            <w:tcBorders>
              <w:top w:val="single" w:sz="4" w:space="0" w:color="5C2A59"/>
              <w:left w:val="single" w:sz="4" w:space="0" w:color="5C2A59"/>
              <w:bottom w:val="double" w:sz="4" w:space="0" w:color="5C2A59"/>
              <w:right w:val="single" w:sz="4" w:space="0" w:color="5C2A59"/>
            </w:tcBorders>
            <w:shd w:val="clear" w:color="auto" w:fill="FAF5E6"/>
            <w:vAlign w:val="center"/>
          </w:tcPr>
          <w:p w:rsidR="00CA1321" w:rsidRPr="001F2F9B" w:rsidRDefault="00CA1321" w:rsidP="005F6A2A">
            <w:pPr>
              <w:jc w:val="center"/>
              <w:rPr>
                <w:rFonts w:ascii="Century Gothic" w:hAnsi="Century Gothic"/>
              </w:rPr>
            </w:pPr>
            <w:r w:rsidRPr="001F2F9B">
              <w:rPr>
                <w:rFonts w:ascii="Century Gothic" w:hAnsi="Century Gothic"/>
              </w:rPr>
              <w:t>Damage (000 US$)</w:t>
            </w:r>
          </w:p>
        </w:tc>
      </w:tr>
      <w:tr w:rsidR="00CA1321" w:rsidRPr="001F2F9B" w:rsidTr="005F6A2A">
        <w:tc>
          <w:tcPr>
            <w:tcW w:w="1485" w:type="dxa"/>
            <w:tcBorders>
              <w:top w:val="doub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Flood</w:t>
            </w:r>
          </w:p>
        </w:tc>
        <w:tc>
          <w:tcPr>
            <w:tcW w:w="1742" w:type="dxa"/>
            <w:tcBorders>
              <w:top w:val="doub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General flood</w:t>
            </w:r>
          </w:p>
        </w:tc>
        <w:tc>
          <w:tcPr>
            <w:tcW w:w="973" w:type="dxa"/>
            <w:tcBorders>
              <w:top w:val="doub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1</w:t>
            </w:r>
          </w:p>
        </w:tc>
        <w:tc>
          <w:tcPr>
            <w:tcW w:w="1308" w:type="dxa"/>
            <w:tcBorders>
              <w:top w:val="doub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25.05.2005</w:t>
            </w:r>
          </w:p>
        </w:tc>
        <w:tc>
          <w:tcPr>
            <w:tcW w:w="1257" w:type="dxa"/>
            <w:tcBorders>
              <w:top w:val="doub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w:t>
            </w:r>
          </w:p>
        </w:tc>
        <w:tc>
          <w:tcPr>
            <w:tcW w:w="1260" w:type="dxa"/>
            <w:tcBorders>
              <w:top w:val="doub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400</w:t>
            </w:r>
          </w:p>
        </w:tc>
        <w:tc>
          <w:tcPr>
            <w:tcW w:w="1261" w:type="dxa"/>
            <w:tcBorders>
              <w:top w:val="doub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w:t>
            </w:r>
          </w:p>
        </w:tc>
      </w:tr>
      <w:tr w:rsidR="00CA1321" w:rsidRPr="001F2F9B" w:rsidTr="005F6A2A">
        <w:tc>
          <w:tcPr>
            <w:tcW w:w="1485"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p>
        </w:tc>
        <w:tc>
          <w:tcPr>
            <w:tcW w:w="1742"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ave. per event</w:t>
            </w:r>
          </w:p>
        </w:tc>
        <w:tc>
          <w:tcPr>
            <w:tcW w:w="973"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p>
        </w:tc>
        <w:tc>
          <w:tcPr>
            <w:tcW w:w="1308"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p>
        </w:tc>
        <w:tc>
          <w:tcPr>
            <w:tcW w:w="1257"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w:t>
            </w:r>
          </w:p>
        </w:tc>
        <w:tc>
          <w:tcPr>
            <w:tcW w:w="1260"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400</w:t>
            </w:r>
          </w:p>
        </w:tc>
        <w:tc>
          <w:tcPr>
            <w:tcW w:w="1261"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w:t>
            </w:r>
          </w:p>
        </w:tc>
      </w:tr>
      <w:tr w:rsidR="00CA1321" w:rsidRPr="001F2F9B" w:rsidTr="005F6A2A">
        <w:tc>
          <w:tcPr>
            <w:tcW w:w="1485"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Storm</w:t>
            </w:r>
          </w:p>
        </w:tc>
        <w:tc>
          <w:tcPr>
            <w:tcW w:w="1742"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Unspecified</w:t>
            </w:r>
          </w:p>
        </w:tc>
        <w:tc>
          <w:tcPr>
            <w:tcW w:w="973"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2</w:t>
            </w:r>
          </w:p>
        </w:tc>
        <w:tc>
          <w:tcPr>
            <w:tcW w:w="1308"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both 25.01.1990</w:t>
            </w:r>
          </w:p>
        </w:tc>
        <w:tc>
          <w:tcPr>
            <w:tcW w:w="1257"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w:t>
            </w:r>
          </w:p>
        </w:tc>
        <w:tc>
          <w:tcPr>
            <w:tcW w:w="1260"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w:t>
            </w:r>
          </w:p>
        </w:tc>
        <w:tc>
          <w:tcPr>
            <w:tcW w:w="1261"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10000</w:t>
            </w:r>
          </w:p>
        </w:tc>
      </w:tr>
      <w:tr w:rsidR="00CA1321" w:rsidRPr="001F2F9B" w:rsidTr="005F6A2A">
        <w:tc>
          <w:tcPr>
            <w:tcW w:w="1485"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p>
        </w:tc>
        <w:tc>
          <w:tcPr>
            <w:tcW w:w="1742"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ave. per event</w:t>
            </w:r>
          </w:p>
        </w:tc>
        <w:tc>
          <w:tcPr>
            <w:tcW w:w="973"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p>
        </w:tc>
        <w:tc>
          <w:tcPr>
            <w:tcW w:w="1308"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p>
        </w:tc>
        <w:tc>
          <w:tcPr>
            <w:tcW w:w="1257"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w:t>
            </w:r>
          </w:p>
        </w:tc>
        <w:tc>
          <w:tcPr>
            <w:tcW w:w="1260"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w:t>
            </w:r>
          </w:p>
        </w:tc>
        <w:tc>
          <w:tcPr>
            <w:tcW w:w="1261" w:type="dxa"/>
            <w:tcBorders>
              <w:top w:val="single" w:sz="4" w:space="0" w:color="5C2A59"/>
              <w:left w:val="single" w:sz="4" w:space="0" w:color="5C2A59"/>
              <w:bottom w:val="single" w:sz="4" w:space="0" w:color="5C2A59"/>
              <w:right w:val="single" w:sz="4" w:space="0" w:color="5C2A59"/>
            </w:tcBorders>
          </w:tcPr>
          <w:p w:rsidR="00CA1321" w:rsidRPr="001F2F9B" w:rsidRDefault="00CA1321" w:rsidP="005F6A2A">
            <w:pPr>
              <w:jc w:val="center"/>
            </w:pPr>
            <w:r w:rsidRPr="001F2F9B">
              <w:t>5000</w:t>
            </w:r>
          </w:p>
        </w:tc>
      </w:tr>
    </w:tbl>
    <w:p w:rsidR="00CA1321" w:rsidRPr="001F2F9B" w:rsidRDefault="00CA1321" w:rsidP="00CA1321">
      <w:pPr>
        <w:pStyle w:val="Beschriftung"/>
        <w:spacing w:before="120"/>
      </w:pPr>
      <w:r w:rsidRPr="001F2F9B">
        <w:t xml:space="preserve">Source: EM-DAT: The OFDA/CRED International Disaster Database, </w:t>
      </w:r>
      <w:hyperlink r:id="rId12" w:history="1">
        <w:r w:rsidRPr="001F2F9B">
          <w:rPr>
            <w:rStyle w:val="Hyperlink"/>
          </w:rPr>
          <w:t>www.emdat.be</w:t>
        </w:r>
      </w:hyperlink>
      <w:r w:rsidRPr="001F2F9B">
        <w:t xml:space="preserve"> - Université catholique de Louvain - Brussels - Belgium</w:t>
      </w:r>
    </w:p>
    <w:p w:rsidR="00CA1321" w:rsidRPr="001F2F9B" w:rsidRDefault="00CA1321" w:rsidP="00CA1321"/>
    <w:p w:rsidR="00CA1321" w:rsidRPr="001F2F9B" w:rsidRDefault="00CA1321" w:rsidP="00CA1321">
      <w:pPr>
        <w:pStyle w:val="berschrift3"/>
        <w:ind w:left="1288"/>
        <w:rPr>
          <w:lang w:val="en-GB"/>
        </w:rPr>
      </w:pPr>
      <w:bookmarkStart w:id="35" w:name="_Toc444087611"/>
      <w:bookmarkStart w:id="36" w:name="_Toc444176184"/>
      <w:bookmarkStart w:id="37" w:name="_Toc445378507"/>
      <w:r w:rsidRPr="001F2F9B">
        <w:rPr>
          <w:lang w:val="en-GB"/>
        </w:rPr>
        <w:t>Risk assessment approaches</w:t>
      </w:r>
      <w:bookmarkEnd w:id="35"/>
      <w:bookmarkEnd w:id="36"/>
      <w:bookmarkEnd w:id="37"/>
    </w:p>
    <w:p w:rsidR="00CA1321" w:rsidRPr="001F2F9B" w:rsidRDefault="00CA1321" w:rsidP="00CA1321">
      <w:r w:rsidRPr="001F2F9B">
        <w:t xml:space="preserve">Finland has adopted several approaches to risk assessment, driven by different aspects and objectives. Due to the low risk profile, the approaches preliminary doesn’t aim on assessing risks for specific disasters, meaning what could </w:t>
      </w:r>
      <w:r w:rsidRPr="001F2F9B">
        <w:rPr>
          <w:i/>
        </w:rPr>
        <w:t>cause</w:t>
      </w:r>
      <w:r w:rsidRPr="001F2F9B">
        <w:t xml:space="preserve"> </w:t>
      </w:r>
      <w:r w:rsidRPr="001F2F9B">
        <w:rPr>
          <w:i/>
        </w:rPr>
        <w:t>damage</w:t>
      </w:r>
      <w:r w:rsidRPr="001F2F9B">
        <w:t xml:space="preserve">, but focuses on what could </w:t>
      </w:r>
      <w:r w:rsidRPr="001F2F9B">
        <w:rPr>
          <w:i/>
        </w:rPr>
        <w:t>be</w:t>
      </w:r>
      <w:r w:rsidRPr="001F2F9B">
        <w:t xml:space="preserve"> </w:t>
      </w:r>
      <w:r w:rsidRPr="001F2F9B">
        <w:rPr>
          <w:i/>
        </w:rPr>
        <w:t>damaged</w:t>
      </w:r>
      <w:r w:rsidRPr="001F2F9B">
        <w:t>, for whatever reason.</w:t>
      </w:r>
    </w:p>
    <w:p w:rsidR="00CA1321" w:rsidRPr="001F2F9B" w:rsidRDefault="00CA1321" w:rsidP="00CA1321">
      <w:r w:rsidRPr="001F2F9B">
        <w:lastRenderedPageBreak/>
        <w:t xml:space="preserve">As a result, at the national level, the </w:t>
      </w:r>
      <w:r w:rsidRPr="001F2F9B">
        <w:rPr>
          <w:rStyle w:val="Hervorhebung"/>
        </w:rPr>
        <w:t>Security Strategy for Society</w:t>
      </w:r>
      <w:r w:rsidRPr="001F2F9B">
        <w:rPr>
          <w:rStyle w:val="Funotenzeichen"/>
          <w:i/>
          <w:iCs/>
          <w:color w:val="5C2A59"/>
        </w:rPr>
        <w:footnoteReference w:id="9"/>
      </w:r>
      <w:r w:rsidRPr="001F2F9B">
        <w:rPr>
          <w:rStyle w:val="Hervorhebung"/>
        </w:rPr>
        <w:t xml:space="preserve"> </w:t>
      </w:r>
      <w:r w:rsidRPr="001F2F9B">
        <w:t>(see 1.2)</w:t>
      </w:r>
      <w:r w:rsidRPr="001F2F9B">
        <w:rPr>
          <w:rStyle w:val="Hervorhebung"/>
        </w:rPr>
        <w:t xml:space="preserve"> </w:t>
      </w:r>
      <w:r w:rsidRPr="001F2F9B">
        <w:t xml:space="preserve">has adopted a risk assessment approach that is in the first instance based on the identification of the vital functions and their vulnerabilities of Finnish society that have to be secured in all situations. </w:t>
      </w:r>
    </w:p>
    <w:p w:rsidR="00CA1321" w:rsidRPr="001F2F9B" w:rsidRDefault="00CA1321" w:rsidP="00CA1321">
      <w:r w:rsidRPr="001F2F9B">
        <w:rPr>
          <w:rStyle w:val="Hervorhebung"/>
        </w:rPr>
        <w:t>Threat scenarios</w:t>
      </w:r>
      <w:r w:rsidRPr="001F2F9B">
        <w:rPr>
          <w:rStyle w:val="Funotenzeichen"/>
        </w:rPr>
        <w:footnoteReference w:id="10"/>
      </w:r>
      <w:r w:rsidRPr="001F2F9B">
        <w:t xml:space="preserve"> have been developed that could affect the vital functions for society. To these threat scenarios, a list of possible disturbances are correlated to improve prevention measurements and policies (see also 1.2).</w:t>
      </w:r>
    </w:p>
    <w:p w:rsidR="00CA1321" w:rsidRPr="001F2F9B" w:rsidRDefault="00CA1321" w:rsidP="00CA1321">
      <w:r w:rsidRPr="001F2F9B">
        <w:t xml:space="preserve">To enhance the risk assessment in different areas, </w:t>
      </w:r>
      <w:r w:rsidRPr="001F2F9B">
        <w:rPr>
          <w:rStyle w:val="Hervorhebung"/>
        </w:rPr>
        <w:t>risk zones</w:t>
      </w:r>
      <w:r w:rsidRPr="001F2F9B">
        <w:t xml:space="preserve"> are defined for the whole country based on the national incident database as well as on vulnerability information derived from population density and the built environment. These data are aggregated through a high-technology GIS-based mapping of the country on a 1-km resolution grid. To each square kilometre is attached a risk probability correlated with a level of service which requires emergency first responders to be present in a certain time period. </w:t>
      </w:r>
      <w:r w:rsidRPr="001F2F9B">
        <w:rPr>
          <w:rStyle w:val="Funotenzeichen"/>
        </w:rPr>
        <w:footnoteReference w:id="11"/>
      </w:r>
      <w:r w:rsidRPr="001F2F9B">
        <w:t xml:space="preserve"> The OIVA</w:t>
      </w:r>
      <w:r w:rsidRPr="001F2F9B">
        <w:rPr>
          <w:rStyle w:val="Funotenzeichen"/>
        </w:rPr>
        <w:footnoteReference w:id="12"/>
      </w:r>
      <w:r w:rsidRPr="001F2F9B">
        <w:t xml:space="preserve"> Service of the SYKE provides data even with a resolution of 250x250 metres that can be e.g. used for land use planning</w:t>
      </w:r>
      <w:r w:rsidRPr="001F2F9B">
        <w:rPr>
          <w:rStyle w:val="Funotenzeichen"/>
        </w:rPr>
        <w:footnoteReference w:id="13"/>
      </w:r>
      <w:r w:rsidRPr="001F2F9B">
        <w:t>.</w:t>
      </w:r>
    </w:p>
    <w:p w:rsidR="00CA1321" w:rsidRPr="001F2F9B" w:rsidRDefault="00CA1321" w:rsidP="00CA1321">
      <w:r w:rsidRPr="001F2F9B">
        <w:t xml:space="preserve"> There are four risk zones, corresponding to 6-minute, 10-minute, 20-minute, or no-limit time periods. This technology-based and practical approach provides the regional rescue services (see chapter 3) with a </w:t>
      </w:r>
      <w:r w:rsidRPr="001F2F9B">
        <w:rPr>
          <w:rStyle w:val="Hervorhebung"/>
        </w:rPr>
        <w:t xml:space="preserve">tool  for capability planning, </w:t>
      </w:r>
      <w:r w:rsidRPr="001F2F9B">
        <w:t xml:space="preserve">required on a regional basis as requested by the Rescue Act (see chapters 2+5). The rescue authorities of the different regions carry out these assessments and update the status of the risk zones regularly. </w:t>
      </w:r>
      <w:r w:rsidRPr="001F2F9B">
        <w:rPr>
          <w:rStyle w:val="Funotenzeichen"/>
        </w:rPr>
        <w:footnoteReference w:id="14"/>
      </w:r>
    </w:p>
    <w:p w:rsidR="00CA1321" w:rsidRPr="001F2F9B" w:rsidRDefault="00CA1321" w:rsidP="00CA1321">
      <w:r w:rsidRPr="001F2F9B">
        <w:t xml:space="preserve">Between these approaches – threat scenarios to vital functions and the practical level of capability planning – methodologies for the quantitative assessment of significant national risks are in the process of being harmonized. </w:t>
      </w:r>
      <w:r w:rsidRPr="001F2F9B">
        <w:rPr>
          <w:rStyle w:val="Funotenzeichen"/>
        </w:rPr>
        <w:footnoteReference w:id="15"/>
      </w:r>
    </w:p>
    <w:p w:rsidR="00CA1321" w:rsidRPr="001F2F9B" w:rsidRDefault="00CA1321" w:rsidP="00CA1321">
      <w:r w:rsidRPr="001F2F9B">
        <w:t xml:space="preserve">In addition to these national and regional all-hazards risk assessments, several processes to assess specific risks are in place, i.e. with regard to flooding as already mentioned under 1.1.1 . </w:t>
      </w:r>
    </w:p>
    <w:p w:rsidR="00CA1321" w:rsidRPr="001F2F9B" w:rsidRDefault="00CA1321" w:rsidP="00CA1321">
      <w:pPr>
        <w:tabs>
          <w:tab w:val="left" w:pos="4536"/>
        </w:tabs>
      </w:pPr>
      <w:r w:rsidRPr="001F2F9B">
        <w:t>The 2014 Peer Review Report on Finland’s implementation of the Hyugo Framework for Action evaluates the current risk assessment process as followed (p.6):</w:t>
      </w:r>
    </w:p>
    <w:p w:rsidR="00CA1321" w:rsidRPr="001F2F9B" w:rsidRDefault="00CA1321" w:rsidP="00CA1321">
      <w:pPr>
        <w:pStyle w:val="longerquotation"/>
        <w:rPr>
          <w:lang w:val="en-GB"/>
        </w:rPr>
      </w:pPr>
      <w:r w:rsidRPr="001F2F9B">
        <w:rPr>
          <w:lang w:val="en-GB"/>
        </w:rPr>
        <w:t>The risk assessment process in Finland would benefit from a more comprehensive approach and better coordination from the national to the local level. This should include improving the methodology for assessing large-scale risks nationally and the harmonisation of regional risk assessments. Flood risk assessment efforts should continue to map and characterise potential impacts of fluvial and urban floods, including water levels at the housing scale, so that prevention and emergency preparedness can be precisely tailored.</w:t>
      </w:r>
    </w:p>
    <w:p w:rsidR="00CA1321" w:rsidRPr="001F2F9B" w:rsidRDefault="00CA1321" w:rsidP="00CA1321">
      <w:pPr>
        <w:pStyle w:val="longerquotation"/>
        <w:rPr>
          <w:lang w:val="en-GB"/>
        </w:rPr>
      </w:pPr>
    </w:p>
    <w:p w:rsidR="00CA1321" w:rsidRPr="001F2F9B" w:rsidRDefault="00CA1321" w:rsidP="00CA1321">
      <w:pPr>
        <w:pStyle w:val="berschrift3"/>
        <w:ind w:left="1288"/>
        <w:rPr>
          <w:lang w:val="en-GB"/>
        </w:rPr>
      </w:pPr>
      <w:bookmarkStart w:id="38" w:name="_Toc444087612"/>
      <w:bookmarkStart w:id="39" w:name="_Toc444176185"/>
      <w:bookmarkStart w:id="40" w:name="_Toc445378508"/>
      <w:r w:rsidRPr="001F2F9B">
        <w:rPr>
          <w:lang w:val="en-GB"/>
        </w:rPr>
        <w:lastRenderedPageBreak/>
        <w:t>International Cooperation with regard to risk assessment</w:t>
      </w:r>
      <w:bookmarkEnd w:id="38"/>
      <w:bookmarkEnd w:id="39"/>
      <w:bookmarkEnd w:id="40"/>
    </w:p>
    <w:p w:rsidR="00CA1321" w:rsidRPr="001F2F9B" w:rsidRDefault="00CA1321" w:rsidP="00CA1321">
      <w:r w:rsidRPr="001F2F9B">
        <w:t xml:space="preserve">Finland has a long history in cooperating with its neighbouring countries, i.e. among the Scandinavian Countries, around the Baltic Sea, the Artic Area in various multi-national treaties and bilaterally with Russia (see also chapter 3.2.2). </w:t>
      </w:r>
    </w:p>
    <w:p w:rsidR="00CA1321" w:rsidRPr="001F2F9B" w:rsidRDefault="00CA1321" w:rsidP="00CA1321">
      <w:r w:rsidRPr="001F2F9B">
        <w:t>An example is the cooperation of the meteorological services of the Nordic and Baltic region countries. Important projects have been the development of the European HILRAM</w:t>
      </w:r>
      <w:r w:rsidRPr="001F2F9B">
        <w:rPr>
          <w:rStyle w:val="Funotenzeichen"/>
        </w:rPr>
        <w:footnoteReference w:id="16"/>
      </w:r>
      <w:r w:rsidRPr="001F2F9B">
        <w:t xml:space="preserve"> model (High Resolution Limited Area Model), the weather radar network for the Baltic Sea Region BALTRAD</w:t>
      </w:r>
      <w:r w:rsidRPr="001F2F9B">
        <w:rPr>
          <w:rStyle w:val="Funotenzeichen"/>
        </w:rPr>
        <w:footnoteReference w:id="17"/>
      </w:r>
      <w:r w:rsidRPr="001F2F9B">
        <w:t xml:space="preserve"> or the co-operation for the exchange and composition of timely weather radar data: the Weather Radar Network NORDRAD of the meteorological services of Sweden, Norway, Denmark, Estonia, Latvia and Finland.</w:t>
      </w:r>
      <w:r w:rsidRPr="001F2F9B">
        <w:rPr>
          <w:rStyle w:val="Funotenzeichen"/>
        </w:rPr>
        <w:footnoteReference w:id="18"/>
      </w:r>
    </w:p>
    <w:p w:rsidR="00CA1321" w:rsidRPr="001F2F9B" w:rsidRDefault="00CA1321" w:rsidP="00CA1321">
      <w:r w:rsidRPr="001F2F9B">
        <w:t>The cooperation of Nordic National Meteorological Services in the field of infrastructure is called NORDMET and was established in 1998. The idea of NORDMET is to achieve a better cost efficiency by sharing resources inter alia in the fields of observation, information management, product development as well as training and education. Next to NORDRAD, it lists several projects and working groups that can be related to risk assessment as well</w:t>
      </w:r>
      <w:r w:rsidRPr="001F2F9B">
        <w:rPr>
          <w:rStyle w:val="Funotenzeichen"/>
        </w:rPr>
        <w:footnoteReference w:id="19"/>
      </w:r>
      <w:r w:rsidRPr="001F2F9B">
        <w:t xml:space="preserve"> . </w:t>
      </w:r>
    </w:p>
    <w:p w:rsidR="00CA1321" w:rsidRPr="001F2F9B" w:rsidRDefault="00CA1321" w:rsidP="00CA1321">
      <w:r w:rsidRPr="001F2F9B">
        <w:t>Some examples:</w:t>
      </w:r>
    </w:p>
    <w:p w:rsidR="00CA1321" w:rsidRPr="001F2F9B" w:rsidRDefault="00CA1321" w:rsidP="004C232D">
      <w:pPr>
        <w:pStyle w:val="Listenabsatz"/>
        <w:numPr>
          <w:ilvl w:val="0"/>
          <w:numId w:val="6"/>
        </w:numPr>
        <w:spacing w:after="120"/>
        <w:contextualSpacing w:val="0"/>
      </w:pPr>
      <w:r w:rsidRPr="001F2F9B">
        <w:t>Working Group NORDSAT - concerned with satellite data and the operational use of these</w:t>
      </w:r>
    </w:p>
    <w:p w:rsidR="00CA1321" w:rsidRPr="001F2F9B" w:rsidRDefault="00CA1321" w:rsidP="004C232D">
      <w:pPr>
        <w:pStyle w:val="Listenabsatz"/>
        <w:numPr>
          <w:ilvl w:val="0"/>
          <w:numId w:val="6"/>
        </w:numPr>
        <w:spacing w:after="120"/>
        <w:contextualSpacing w:val="0"/>
      </w:pPr>
      <w:r w:rsidRPr="001F2F9B">
        <w:t>Nord MetNet - Co-operation in the Field of Nuclear Accidents</w:t>
      </w:r>
    </w:p>
    <w:p w:rsidR="00CA1321" w:rsidRPr="001F2F9B" w:rsidRDefault="00CA1321" w:rsidP="004C232D">
      <w:pPr>
        <w:pStyle w:val="Listenabsatz"/>
        <w:numPr>
          <w:ilvl w:val="0"/>
          <w:numId w:val="6"/>
        </w:numPr>
        <w:spacing w:after="120"/>
        <w:contextualSpacing w:val="0"/>
      </w:pPr>
      <w:r w:rsidRPr="001F2F9B">
        <w:t>NFCS Nordic Framework for Climate Services</w:t>
      </w:r>
    </w:p>
    <w:p w:rsidR="00CA1321" w:rsidRPr="001F2F9B" w:rsidRDefault="00CA1321" w:rsidP="00CA1321">
      <w:r w:rsidRPr="001F2F9B">
        <w:t>There are also several cooperation agreements related to specific risks not restricted to meteorological services, such as the risk of a major shipping accident or oil spill accidents.</w:t>
      </w:r>
    </w:p>
    <w:p w:rsidR="00CA1321" w:rsidRPr="001F2F9B" w:rsidRDefault="00CA1321" w:rsidP="00CA1321">
      <w:pPr>
        <w:pStyle w:val="Zitat"/>
      </w:pPr>
    </w:p>
    <w:p w:rsidR="00CA1321" w:rsidRPr="001F2F9B" w:rsidRDefault="00CA1321" w:rsidP="00CA1321">
      <w:pPr>
        <w:pStyle w:val="Zitat"/>
      </w:pPr>
      <w:r w:rsidRPr="001F2F9B">
        <w:t>One of the most important tasks of the Arctic Council is to monitor and assess the state of the</w:t>
      </w:r>
    </w:p>
    <w:p w:rsidR="00CA1321" w:rsidRPr="001F2F9B" w:rsidRDefault="00CA1321" w:rsidP="00CA1321">
      <w:pPr>
        <w:pStyle w:val="Zitat"/>
      </w:pPr>
      <w:r w:rsidRPr="001F2F9B">
        <w:t>environment in the region and to alert to any changes.</w:t>
      </w:r>
      <w:r w:rsidRPr="001F2F9B">
        <w:rPr>
          <w:rStyle w:val="Funotenzeichen"/>
        </w:rPr>
        <w:footnoteReference w:id="20"/>
      </w:r>
    </w:p>
    <w:p w:rsidR="00CA1321" w:rsidRPr="001F2F9B" w:rsidRDefault="00CA1321" w:rsidP="00CA1321"/>
    <w:p w:rsidR="00CA1321" w:rsidRPr="001F2F9B" w:rsidRDefault="00CA1321" w:rsidP="00CA1321">
      <w:r w:rsidRPr="001F2F9B">
        <w:t>The 2014 Peer Review Report on Finland’s implementation of the Hyugo Framework for Action describes the international cooperation in terms of risk assessment as followed:</w:t>
      </w:r>
    </w:p>
    <w:p w:rsidR="00CA1321" w:rsidRPr="001F2F9B" w:rsidRDefault="00CA1321" w:rsidP="00CA1321">
      <w:pPr>
        <w:pStyle w:val="longerquotation"/>
        <w:rPr>
          <w:lang w:val="en-GB"/>
        </w:rPr>
      </w:pPr>
      <w:r w:rsidRPr="001F2F9B">
        <w:rPr>
          <w:lang w:val="en-GB"/>
        </w:rPr>
        <w:t xml:space="preserve">There is a strong and historic cooperation among the Scandinavian countries as well as around the Baltic Sea with the Council of the Baltic Sea States. Joint monitoring and data sharing is effective through the common weather radar mosaic, produced together with Sweden and Norway. Trans-boundary rivers are also jointly monitored together with neighbouring countries. </w:t>
      </w:r>
    </w:p>
    <w:p w:rsidR="00CA1321" w:rsidRPr="001F2F9B" w:rsidRDefault="00CA1321" w:rsidP="00CA1321">
      <w:pPr>
        <w:pStyle w:val="longerquotation"/>
        <w:rPr>
          <w:lang w:val="en-GB"/>
        </w:rPr>
      </w:pPr>
      <w:r w:rsidRPr="001F2F9B">
        <w:rPr>
          <w:lang w:val="en-GB"/>
        </w:rPr>
        <w:t xml:space="preserve">Issues of specific concern related to the Baltic Sea such as the risk of a major shipping accident or pollution control are followed closely by the riverine countries and joint actions are conducted. To prevent pollution, for instance, there is a permanent airborne observation and regular </w:t>
      </w:r>
      <w:r w:rsidRPr="001F2F9B">
        <w:rPr>
          <w:lang w:val="en-GB"/>
        </w:rPr>
        <w:lastRenderedPageBreak/>
        <w:t xml:space="preserve">contacts with the Russian authorities. The risk of nuclear accidents in neighbouring countries is also taken into consideration in the risk assessment. </w:t>
      </w:r>
    </w:p>
    <w:p w:rsidR="00CA1321" w:rsidRPr="001F2F9B" w:rsidRDefault="00CA1321" w:rsidP="00CA1321">
      <w:pPr>
        <w:pStyle w:val="longerquotation"/>
        <w:rPr>
          <w:lang w:val="en-GB"/>
        </w:rPr>
      </w:pPr>
      <w:r w:rsidRPr="001F2F9B">
        <w:rPr>
          <w:lang w:val="en-GB"/>
        </w:rPr>
        <w:t>At EU level, Finland is a participating country in the European Civil Protection Mechanism, which facilitates cooperation in civil protection between European countries in order to improve prevention, preparedness and response. The risk assessment being prepared by the Finnish authorities will contribute to the work being developed at EU level on risk assessment.</w:t>
      </w:r>
    </w:p>
    <w:p w:rsidR="00CA1321" w:rsidRPr="001F2F9B" w:rsidRDefault="00CA1321" w:rsidP="00CA1321">
      <w:pPr>
        <w:pStyle w:val="longerquotation"/>
        <w:rPr>
          <w:lang w:val="en-GB"/>
        </w:rPr>
      </w:pPr>
      <w:r w:rsidRPr="001F2F9B">
        <w:rPr>
          <w:lang w:val="en-GB"/>
        </w:rPr>
        <w:t xml:space="preserve">In addition, within the EU Strategy for the Baltic Sea Region, finalised at the end of 2013, Finland contributed actively to a project aiming at the development of scenarios and the identification of gaps for all main hazards in the Baltic Sea region. </w:t>
      </w:r>
    </w:p>
    <w:p w:rsidR="00CA1321" w:rsidRPr="001F2F9B" w:rsidRDefault="00CA1321" w:rsidP="00CA1321">
      <w:pPr>
        <w:pStyle w:val="longerquotation"/>
        <w:rPr>
          <w:lang w:val="en-GB"/>
        </w:rPr>
      </w:pPr>
      <w:r w:rsidRPr="001F2F9B">
        <w:rPr>
          <w:lang w:val="en-GB"/>
        </w:rPr>
        <w:t>On a regional basis, Finland participates in the Baltic Marine Environment Protection Commission, which regularly develops joint risk assessments of the Baltic Sea environment and plans for measures to respond to major maritime incidents. Finland cooperates also with the other Nordic countries within the framework of the Council of the Baltic Sea States (the civil protection network coordinates joint measures in the field of civil protection, critical infrastructure protection and emergency preparedness issues), the Barents Euro–Arctic Council (joint committee on rescue cooperation) and the Arctic Council (emergency prevention, preparedness and response working group).</w:t>
      </w:r>
    </w:p>
    <w:p w:rsidR="00CA1321" w:rsidRPr="001F2F9B" w:rsidRDefault="00CA1321" w:rsidP="00CA1321">
      <w:r w:rsidRPr="001F2F9B">
        <w:t>One example for the international cooperation in risk assessment and monitoring is the Baltic Marine Environment Protection Commission – HELCOM, which is the governing body of the Convention on the Protection of the Marine Environment of the Baltic Sea Area, known as the Helsinki Convention to protect the marine environment of the Baltic Sea from all sources of pollution through intergovernmental cooperation</w:t>
      </w:r>
      <w:r w:rsidRPr="001F2F9B">
        <w:rPr>
          <w:rStyle w:val="Funotenzeichen"/>
        </w:rPr>
        <w:footnoteReference w:id="21"/>
      </w:r>
      <w:r w:rsidRPr="001F2F9B">
        <w:t>.  HELCOM has developed a Monitoring and Assessment Strategy which is translated in a Monitoring and Assessment System (see Fig. 1). Part of the monitoring is the Automatic Identification System (AIS) which monitors the maritime traffic with special regard to oil tankers, in the Baltic Sea with land based stations, enabling the Baltic as the first region in the world to monitor maritime traffic in real-time since 2005.</w:t>
      </w:r>
      <w:r w:rsidRPr="001F2F9B">
        <w:rPr>
          <w:rStyle w:val="Funotenzeichen"/>
        </w:rPr>
        <w:footnoteReference w:id="22"/>
      </w:r>
      <w:r w:rsidRPr="001F2F9B">
        <w:t xml:space="preserve"> Status 2016 of course, except for a few not identified ships sometimes, marine traffic is monitored worldwide close to real-time</w:t>
      </w:r>
      <w:r w:rsidRPr="001F2F9B">
        <w:rPr>
          <w:rStyle w:val="Funotenzeichen"/>
        </w:rPr>
        <w:footnoteReference w:id="23"/>
      </w:r>
      <w:r w:rsidRPr="001F2F9B">
        <w:t>.</w:t>
      </w:r>
    </w:p>
    <w:p w:rsidR="00CA1321" w:rsidRPr="001F2F9B" w:rsidRDefault="00CA1321" w:rsidP="00CA1321"/>
    <w:p w:rsidR="00CA1321" w:rsidRPr="001F2F9B" w:rsidRDefault="00CA1321" w:rsidP="00CA1321">
      <w:r w:rsidRPr="001F2F9B">
        <w:rPr>
          <w:noProof/>
          <w:lang w:val="es-ES" w:eastAsia="es-ES"/>
        </w:rPr>
        <w:lastRenderedPageBreak/>
        <w:drawing>
          <wp:inline distT="0" distB="0" distL="0" distR="0" wp14:anchorId="1132880A" wp14:editId="5A99ABF7">
            <wp:extent cx="5759450" cy="2475596"/>
            <wp:effectExtent l="0" t="0" r="0" b="1270"/>
            <wp:docPr id="5161" name="Grafik 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59450" cy="2475596"/>
                    </a:xfrm>
                    <a:prstGeom prst="rect">
                      <a:avLst/>
                    </a:prstGeom>
                  </pic:spPr>
                </pic:pic>
              </a:graphicData>
            </a:graphic>
          </wp:inline>
        </w:drawing>
      </w:r>
    </w:p>
    <w:p w:rsidR="00CA1321" w:rsidRPr="001F2F9B" w:rsidRDefault="00CA1321" w:rsidP="00CA1321">
      <w:pPr>
        <w:pStyle w:val="Beschriftung"/>
        <w:spacing w:after="0"/>
        <w:jc w:val="left"/>
      </w:pPr>
      <w:bookmarkStart w:id="41" w:name="_Toc444089828"/>
      <w:bookmarkStart w:id="42" w:name="_Ref444074567"/>
      <w:r w:rsidRPr="001F2F9B">
        <w:t xml:space="preserve">Figure </w:t>
      </w:r>
      <w:r w:rsidRPr="001F2F9B">
        <w:fldChar w:fldCharType="begin"/>
      </w:r>
      <w:r w:rsidRPr="001F2F9B">
        <w:instrText xml:space="preserve"> SEQ Figure \* ARABIC </w:instrText>
      </w:r>
      <w:r w:rsidRPr="001F2F9B">
        <w:fldChar w:fldCharType="separate"/>
      </w:r>
      <w:r>
        <w:rPr>
          <w:noProof/>
        </w:rPr>
        <w:t>7</w:t>
      </w:r>
      <w:r w:rsidRPr="001F2F9B">
        <w:fldChar w:fldCharType="end"/>
      </w:r>
      <w:r w:rsidRPr="001F2F9B">
        <w:t>: Flow-chart of the HELCOM Monitoring and Assessment System described in the HELCOM Monitoring and Assessment Strategy</w:t>
      </w:r>
      <w:bookmarkEnd w:id="41"/>
    </w:p>
    <w:p w:rsidR="00CA1321" w:rsidRPr="001F2F9B" w:rsidRDefault="00CA1321" w:rsidP="00CA1321">
      <w:pPr>
        <w:pStyle w:val="Beschriftung"/>
        <w:spacing w:after="0"/>
        <w:jc w:val="left"/>
      </w:pPr>
      <w:r w:rsidRPr="001F2F9B">
        <w:t>Source: HELCOM Monitoring and Assessment Strategy</w:t>
      </w:r>
      <w:r w:rsidRPr="001F2F9B">
        <w:rPr>
          <w:rStyle w:val="Funotenzeichen"/>
        </w:rPr>
        <w:footnoteReference w:id="24"/>
      </w:r>
      <w:bookmarkEnd w:id="42"/>
      <w:r w:rsidRPr="001F2F9B">
        <w:t xml:space="preserve"> </w:t>
      </w:r>
    </w:p>
    <w:p w:rsidR="00CA1321" w:rsidRPr="001F2F9B" w:rsidRDefault="00CA1321" w:rsidP="00CA1321"/>
    <w:p w:rsidR="00CA1321" w:rsidRPr="001F2F9B" w:rsidRDefault="00CA1321" w:rsidP="00CA1321">
      <w:pPr>
        <w:pStyle w:val="berschrift2"/>
        <w:ind w:left="576" w:hanging="576"/>
        <w:rPr>
          <w:lang w:val="en-GB"/>
        </w:rPr>
      </w:pPr>
      <w:bookmarkStart w:id="43" w:name="_Toc444087613"/>
      <w:bookmarkStart w:id="44" w:name="_Toc444176186"/>
      <w:bookmarkStart w:id="45" w:name="_Toc445378509"/>
      <w:r w:rsidRPr="001F2F9B">
        <w:rPr>
          <w:lang w:val="en-GB"/>
        </w:rPr>
        <w:t>Policy and Governance</w:t>
      </w:r>
      <w:bookmarkEnd w:id="43"/>
      <w:bookmarkEnd w:id="44"/>
      <w:bookmarkEnd w:id="45"/>
      <w:r w:rsidRPr="001F2F9B">
        <w:rPr>
          <w:lang w:val="en-GB"/>
        </w:rPr>
        <w:t xml:space="preserve"> </w:t>
      </w:r>
    </w:p>
    <w:p w:rsidR="00CA1321" w:rsidRPr="001F2F9B" w:rsidRDefault="00CA1321" w:rsidP="00CA1321">
      <w:r w:rsidRPr="001F2F9B">
        <w:t>The objective of the Finnish Government is to make Finland the safest country with the most effective rescue services in Europe, as highlighted in the “</w:t>
      </w:r>
      <w:r w:rsidRPr="001F2F9B">
        <w:rPr>
          <w:rStyle w:val="IntensiveHervorhebung"/>
        </w:rPr>
        <w:t>Security Strategy for Society</w:t>
      </w:r>
      <w:r w:rsidRPr="001F2F9B">
        <w:t>”</w:t>
      </w:r>
      <w:r w:rsidRPr="001F2F9B">
        <w:rPr>
          <w:rStyle w:val="Funotenzeichen"/>
        </w:rPr>
        <w:footnoteReference w:id="25"/>
      </w:r>
      <w:r w:rsidRPr="001F2F9B">
        <w:t xml:space="preserve"> adopted in 2010. This ambition is reflected in a comprehensive legal and policy framework for disaster risk reduction, which has been significantly renewed over the last years and is constantly improved.</w:t>
      </w:r>
    </w:p>
    <w:p w:rsidR="00CA1321" w:rsidRPr="001F2F9B" w:rsidRDefault="00CA1321" w:rsidP="00CA1321">
      <w:r w:rsidRPr="001F2F9B">
        <w:t>The Finnish disaster risk management policy is clearly set out in a number of key documents, including the Security Strategy for Society, the Finnish Security and Defence Policy Report and the Internal Security Programme.</w:t>
      </w:r>
    </w:p>
    <w:p w:rsidR="00CA1321" w:rsidRPr="001F2F9B" w:rsidRDefault="00CA1321" w:rsidP="00CA1321">
      <w:r w:rsidRPr="001F2F9B">
        <w:t xml:space="preserve">Policy making in context of disaster risk reduction is done on the national level, following the mentioned Security Strategy for Society. Disaster preparedness is implemented at all levels of society. All administrative sectors are obligated to draw up preparedness plans and maintain preparedness in case of emergency conditions or disturbances in normal conditions. Responsibility lies with the authorities, to which the duties are assigned by law, following </w:t>
      </w:r>
      <w:r w:rsidRPr="001F2F9B">
        <w:rPr>
          <w:rStyle w:val="IntensiveHervorhebung"/>
        </w:rPr>
        <w:t>a concept of competent authorities</w:t>
      </w:r>
      <w:r w:rsidRPr="001F2F9B">
        <w:t xml:space="preserve">, meaning that tasks are distributed based on substantial expertise and competences of each authority. </w:t>
      </w:r>
    </w:p>
    <w:p w:rsidR="00CA1321" w:rsidRPr="001F2F9B" w:rsidRDefault="00CA1321" w:rsidP="00CA1321">
      <w:r w:rsidRPr="001F2F9B">
        <w:t xml:space="preserve">Another rule is the </w:t>
      </w:r>
      <w:r w:rsidRPr="001F2F9B">
        <w:rPr>
          <w:rStyle w:val="ZitatZchn"/>
        </w:rPr>
        <w:t>principle of strict legality in the administration. Horizontally, every sector has rather independent powers in decision making, and also vertically the possibilities of upper administrative levels to lead directly over the lower levels are restricted by law.</w:t>
      </w:r>
      <w:r w:rsidRPr="001F2F9B">
        <w:rPr>
          <w:rStyle w:val="Funotenzeichen"/>
        </w:rPr>
        <w:footnoteReference w:id="26"/>
      </w:r>
    </w:p>
    <w:p w:rsidR="00CA1321" w:rsidRPr="001F2F9B" w:rsidRDefault="00CA1321" w:rsidP="00CA1321">
      <w:r w:rsidRPr="001F2F9B">
        <w:t>The homepage</w:t>
      </w:r>
      <w:r w:rsidRPr="001F2F9B">
        <w:rPr>
          <w:rStyle w:val="Funotenzeichen"/>
        </w:rPr>
        <w:footnoteReference w:id="27"/>
      </w:r>
      <w:r w:rsidRPr="001F2F9B">
        <w:t xml:space="preserve"> of the Security Strategy for Society states:</w:t>
      </w:r>
    </w:p>
    <w:p w:rsidR="00CA1321" w:rsidRPr="001F2F9B" w:rsidRDefault="00CA1321" w:rsidP="00CA1321">
      <w:pPr>
        <w:pStyle w:val="longerquotation"/>
        <w:rPr>
          <w:lang w:val="en-GB"/>
        </w:rPr>
      </w:pPr>
      <w:r w:rsidRPr="001F2F9B">
        <w:rPr>
          <w:lang w:val="en-GB"/>
        </w:rPr>
        <w:lastRenderedPageBreak/>
        <w:t>The functions vital to society must be secured in all times: in normal conditions as well as in crises. In the security strategy for society the vital functions form the basis for preparedness. The following are regarded as vital functions:</w:t>
      </w:r>
    </w:p>
    <w:p w:rsidR="00CA1321" w:rsidRPr="001F2F9B" w:rsidRDefault="00CA1321" w:rsidP="004C232D">
      <w:pPr>
        <w:pStyle w:val="Listenabsatz"/>
        <w:numPr>
          <w:ilvl w:val="0"/>
          <w:numId w:val="6"/>
        </w:numPr>
        <w:spacing w:after="120"/>
        <w:contextualSpacing w:val="0"/>
      </w:pPr>
      <w:r w:rsidRPr="001F2F9B">
        <w:t>Management of Government affairs</w:t>
      </w:r>
    </w:p>
    <w:p w:rsidR="00CA1321" w:rsidRPr="001F2F9B" w:rsidRDefault="00CA1321" w:rsidP="004C232D">
      <w:pPr>
        <w:pStyle w:val="Listenabsatz"/>
        <w:numPr>
          <w:ilvl w:val="0"/>
          <w:numId w:val="6"/>
        </w:numPr>
        <w:spacing w:after="120"/>
        <w:contextualSpacing w:val="0"/>
      </w:pPr>
      <w:r w:rsidRPr="001F2F9B">
        <w:t>International activity</w:t>
      </w:r>
    </w:p>
    <w:p w:rsidR="00CA1321" w:rsidRPr="001F2F9B" w:rsidRDefault="00CA1321" w:rsidP="004C232D">
      <w:pPr>
        <w:pStyle w:val="Listenabsatz"/>
        <w:numPr>
          <w:ilvl w:val="0"/>
          <w:numId w:val="6"/>
        </w:numPr>
        <w:spacing w:after="120"/>
        <w:contextualSpacing w:val="0"/>
      </w:pPr>
      <w:r w:rsidRPr="001F2F9B">
        <w:t>Finland’s defence capability</w:t>
      </w:r>
    </w:p>
    <w:p w:rsidR="00CA1321" w:rsidRPr="001F2F9B" w:rsidRDefault="00CA1321" w:rsidP="004C232D">
      <w:pPr>
        <w:pStyle w:val="Listenabsatz"/>
        <w:numPr>
          <w:ilvl w:val="0"/>
          <w:numId w:val="6"/>
        </w:numPr>
        <w:spacing w:after="120"/>
        <w:contextualSpacing w:val="0"/>
      </w:pPr>
      <w:r w:rsidRPr="001F2F9B">
        <w:t>Internal security</w:t>
      </w:r>
    </w:p>
    <w:p w:rsidR="00CA1321" w:rsidRPr="001F2F9B" w:rsidRDefault="00CA1321" w:rsidP="004C232D">
      <w:pPr>
        <w:pStyle w:val="Listenabsatz"/>
        <w:numPr>
          <w:ilvl w:val="0"/>
          <w:numId w:val="6"/>
        </w:numPr>
        <w:spacing w:after="120"/>
        <w:contextualSpacing w:val="0"/>
      </w:pPr>
      <w:r w:rsidRPr="001F2F9B">
        <w:t>Functioning of the economy and infrastructure</w:t>
      </w:r>
    </w:p>
    <w:p w:rsidR="00CA1321" w:rsidRPr="001F2F9B" w:rsidRDefault="00CA1321" w:rsidP="004C232D">
      <w:pPr>
        <w:pStyle w:val="Listenabsatz"/>
        <w:numPr>
          <w:ilvl w:val="0"/>
          <w:numId w:val="6"/>
        </w:numPr>
        <w:spacing w:after="120"/>
        <w:contextualSpacing w:val="0"/>
      </w:pPr>
      <w:r w:rsidRPr="001F2F9B">
        <w:t>The population’s income security and capability to function</w:t>
      </w:r>
    </w:p>
    <w:p w:rsidR="00CA1321" w:rsidRPr="001F2F9B" w:rsidRDefault="00CA1321" w:rsidP="004C232D">
      <w:pPr>
        <w:pStyle w:val="Listenabsatz"/>
        <w:numPr>
          <w:ilvl w:val="0"/>
          <w:numId w:val="6"/>
        </w:numPr>
        <w:spacing w:after="120"/>
        <w:contextualSpacing w:val="0"/>
      </w:pPr>
      <w:r w:rsidRPr="001F2F9B">
        <w:t>Psychological crisis tolerance</w:t>
      </w:r>
    </w:p>
    <w:p w:rsidR="00CA1321" w:rsidRPr="001F2F9B" w:rsidRDefault="00CA1321" w:rsidP="00CA1321">
      <w:pPr>
        <w:pStyle w:val="longerquotation"/>
        <w:rPr>
          <w:lang w:val="en-GB"/>
        </w:rPr>
      </w:pPr>
      <w:r w:rsidRPr="001F2F9B">
        <w:rPr>
          <w:lang w:val="en-GB"/>
        </w:rPr>
        <w:t>All actors in society – authorities, companies, organisations and communities involved in security studies – play an important role in securing these functions.</w:t>
      </w:r>
    </w:p>
    <w:p w:rsidR="00CA1321" w:rsidRPr="001F2F9B" w:rsidRDefault="00CA1321" w:rsidP="00CA1321">
      <w:r w:rsidRPr="001F2F9B">
        <w:t>The Security Strategy for Society lists 49 strategic tasks clustered under the above mentioned seven vital functions for society, which aim to secure these vital functions in case of disturbances</w:t>
      </w:r>
      <w:r w:rsidRPr="001F2F9B">
        <w:rPr>
          <w:rStyle w:val="Funotenzeichen"/>
        </w:rPr>
        <w:footnoteReference w:id="28"/>
      </w:r>
      <w:r w:rsidRPr="001F2F9B">
        <w:t xml:space="preserve"> and assigns responsibilities to diverse Ministries (the competent authority) for each of these tasks, relevant to their own sphere of operation. (see table 3). Thus, many ministries are involved in the Security Strategy. Tasks related to disaster risk reduction e.g. are under the responsibilities of the Ministry of the Interior for emergency preparedness and response; the Ministry of Agriculture and Forestry together with the Ministry of the Environment is responsible for prevention of floods and droughts; and Ministry of Finance and other sectorial ministries, for business continuity.</w:t>
      </w:r>
    </w:p>
    <w:p w:rsidR="00CA1321" w:rsidRPr="001F2F9B" w:rsidRDefault="00CA1321" w:rsidP="00CA1321">
      <w:r w:rsidRPr="001F2F9B">
        <w:t>Possible disturbances to these tasks and thus, to vital functions have currently (status 2010) been identified and are clustered in 13 threats scenarios</w:t>
      </w:r>
      <w:r w:rsidRPr="001F2F9B">
        <w:rPr>
          <w:rStyle w:val="Funotenzeichen"/>
        </w:rPr>
        <w:footnoteReference w:id="29"/>
      </w:r>
      <w:r w:rsidRPr="001F2F9B">
        <w:t xml:space="preserve"> as described on the homepage of the policy</w:t>
      </w:r>
      <w:r w:rsidRPr="001F2F9B">
        <w:rPr>
          <w:rStyle w:val="Funotenzeichen"/>
        </w:rPr>
        <w:footnoteReference w:id="30"/>
      </w:r>
      <w:r w:rsidRPr="001F2F9B">
        <w:t>:</w:t>
      </w:r>
    </w:p>
    <w:p w:rsidR="00CA1321" w:rsidRPr="001F2F9B" w:rsidRDefault="00CA1321" w:rsidP="00CA1321">
      <w:pPr>
        <w:pStyle w:val="longerquotation"/>
        <w:rPr>
          <w:lang w:val="en-GB"/>
        </w:rPr>
      </w:pPr>
      <w:r w:rsidRPr="001F2F9B">
        <w:rPr>
          <w:lang w:val="en-GB"/>
        </w:rPr>
        <w:t xml:space="preserve">Threat models have been compiled as the basis of preparedness for the security strategy for society. They are descriptions of situations that may endanger security in society and its vital functions. </w:t>
      </w:r>
      <w:r w:rsidRPr="001F2F9B">
        <w:rPr>
          <w:i w:val="0"/>
          <w:color w:val="auto"/>
          <w:lang w:val="en-GB"/>
        </w:rPr>
        <w:t>(the 13)</w:t>
      </w:r>
      <w:r w:rsidRPr="001F2F9B">
        <w:rPr>
          <w:color w:val="auto"/>
          <w:lang w:val="en-GB"/>
        </w:rPr>
        <w:t xml:space="preserve"> </w:t>
      </w:r>
      <w:r w:rsidRPr="001F2F9B">
        <w:rPr>
          <w:lang w:val="en-GB"/>
        </w:rPr>
        <w:t>Threat models consist of the following:</w:t>
      </w:r>
    </w:p>
    <w:p w:rsidR="00CA1321" w:rsidRPr="001F2F9B" w:rsidRDefault="00CA1321" w:rsidP="004C232D">
      <w:pPr>
        <w:pStyle w:val="Listenabsatz"/>
        <w:numPr>
          <w:ilvl w:val="0"/>
          <w:numId w:val="6"/>
        </w:numPr>
        <w:spacing w:after="120"/>
        <w:contextualSpacing w:val="0"/>
      </w:pPr>
      <w:r w:rsidRPr="001F2F9B">
        <w:t>a serious failure of the power supply</w:t>
      </w:r>
    </w:p>
    <w:p w:rsidR="00CA1321" w:rsidRPr="001F2F9B" w:rsidRDefault="00CA1321" w:rsidP="004C232D">
      <w:pPr>
        <w:pStyle w:val="Listenabsatz"/>
        <w:numPr>
          <w:ilvl w:val="0"/>
          <w:numId w:val="6"/>
        </w:numPr>
        <w:spacing w:after="120"/>
        <w:contextualSpacing w:val="0"/>
      </w:pPr>
      <w:r w:rsidRPr="001F2F9B">
        <w:t>serious disruptions to telecommunications and information systems</w:t>
      </w:r>
    </w:p>
    <w:p w:rsidR="00CA1321" w:rsidRPr="001F2F9B" w:rsidRDefault="00CA1321" w:rsidP="004C232D">
      <w:pPr>
        <w:pStyle w:val="Listenabsatz"/>
        <w:numPr>
          <w:ilvl w:val="0"/>
          <w:numId w:val="6"/>
        </w:numPr>
        <w:spacing w:after="120"/>
        <w:contextualSpacing w:val="0"/>
      </w:pPr>
      <w:r w:rsidRPr="001F2F9B">
        <w:t>serious disruptions to logistics</w:t>
      </w:r>
    </w:p>
    <w:p w:rsidR="00CA1321" w:rsidRPr="001F2F9B" w:rsidRDefault="00CA1321" w:rsidP="004C232D">
      <w:pPr>
        <w:pStyle w:val="Listenabsatz"/>
        <w:numPr>
          <w:ilvl w:val="0"/>
          <w:numId w:val="6"/>
        </w:numPr>
        <w:spacing w:after="120"/>
        <w:contextualSpacing w:val="0"/>
      </w:pPr>
      <w:r w:rsidRPr="001F2F9B">
        <w:t>serious disturbances in the community infrastructure</w:t>
      </w:r>
    </w:p>
    <w:p w:rsidR="00CA1321" w:rsidRPr="001F2F9B" w:rsidRDefault="00CA1321" w:rsidP="004C232D">
      <w:pPr>
        <w:pStyle w:val="Listenabsatz"/>
        <w:numPr>
          <w:ilvl w:val="0"/>
          <w:numId w:val="6"/>
        </w:numPr>
        <w:spacing w:after="120"/>
        <w:contextualSpacing w:val="0"/>
      </w:pPr>
      <w:r w:rsidRPr="001F2F9B">
        <w:t>a serious disruption to food supply</w:t>
      </w:r>
    </w:p>
    <w:p w:rsidR="00CA1321" w:rsidRPr="001F2F9B" w:rsidRDefault="00CA1321" w:rsidP="004C232D">
      <w:pPr>
        <w:pStyle w:val="Listenabsatz"/>
        <w:numPr>
          <w:ilvl w:val="0"/>
          <w:numId w:val="6"/>
        </w:numPr>
        <w:spacing w:after="120"/>
        <w:contextualSpacing w:val="0"/>
      </w:pPr>
      <w:r w:rsidRPr="001F2F9B">
        <w:t>serious disturbances in the finance and payments system</w:t>
      </w:r>
    </w:p>
    <w:p w:rsidR="00CA1321" w:rsidRPr="001F2F9B" w:rsidRDefault="00CA1321" w:rsidP="004C232D">
      <w:pPr>
        <w:pStyle w:val="Listenabsatz"/>
        <w:numPr>
          <w:ilvl w:val="0"/>
          <w:numId w:val="6"/>
        </w:numPr>
        <w:spacing w:after="120"/>
        <w:contextualSpacing w:val="0"/>
      </w:pPr>
      <w:r w:rsidRPr="001F2F9B">
        <w:t>failing access to public finances funding</w:t>
      </w:r>
    </w:p>
    <w:p w:rsidR="00CA1321" w:rsidRPr="001F2F9B" w:rsidRDefault="00CA1321" w:rsidP="004C232D">
      <w:pPr>
        <w:pStyle w:val="Listenabsatz"/>
        <w:numPr>
          <w:ilvl w:val="0"/>
          <w:numId w:val="6"/>
        </w:numPr>
        <w:spacing w:after="120"/>
        <w:contextualSpacing w:val="0"/>
      </w:pPr>
      <w:r w:rsidRPr="001F2F9B">
        <w:t>a serious disturbance in the public health and well-being</w:t>
      </w:r>
    </w:p>
    <w:p w:rsidR="00CA1321" w:rsidRPr="001F2F9B" w:rsidRDefault="00CA1321" w:rsidP="004C232D">
      <w:pPr>
        <w:pStyle w:val="Listenabsatz"/>
        <w:numPr>
          <w:ilvl w:val="0"/>
          <w:numId w:val="6"/>
        </w:numPr>
        <w:spacing w:after="120"/>
        <w:contextualSpacing w:val="0"/>
      </w:pPr>
      <w:r w:rsidRPr="001F2F9B">
        <w:lastRenderedPageBreak/>
        <w:t>major accidents, extreme weather conditions and environmental threats</w:t>
      </w:r>
    </w:p>
    <w:p w:rsidR="00CA1321" w:rsidRPr="001F2F9B" w:rsidRDefault="00CA1321" w:rsidP="004C232D">
      <w:pPr>
        <w:pStyle w:val="Listenabsatz"/>
        <w:numPr>
          <w:ilvl w:val="0"/>
          <w:numId w:val="6"/>
        </w:numPr>
        <w:spacing w:after="120"/>
        <w:contextualSpacing w:val="0"/>
      </w:pPr>
      <w:r w:rsidRPr="001F2F9B">
        <w:t>terrorism and other type of crime posing a threat to society</w:t>
      </w:r>
    </w:p>
    <w:p w:rsidR="00CA1321" w:rsidRPr="001F2F9B" w:rsidRDefault="00CA1321" w:rsidP="004C232D">
      <w:pPr>
        <w:pStyle w:val="Listenabsatz"/>
        <w:numPr>
          <w:ilvl w:val="0"/>
          <w:numId w:val="6"/>
        </w:numPr>
        <w:spacing w:after="120"/>
        <w:contextualSpacing w:val="0"/>
      </w:pPr>
      <w:r w:rsidRPr="001F2F9B">
        <w:t>serious disturbances in border management</w:t>
      </w:r>
    </w:p>
    <w:p w:rsidR="00CA1321" w:rsidRPr="001F2F9B" w:rsidRDefault="00CA1321" w:rsidP="004C232D">
      <w:pPr>
        <w:pStyle w:val="Listenabsatz"/>
        <w:numPr>
          <w:ilvl w:val="0"/>
          <w:numId w:val="6"/>
        </w:numPr>
        <w:spacing w:after="120"/>
        <w:contextualSpacing w:val="0"/>
      </w:pPr>
      <w:r w:rsidRPr="001F2F9B">
        <w:t>political, financial and military pressure, and</w:t>
      </w:r>
    </w:p>
    <w:p w:rsidR="00CA1321" w:rsidRPr="001F2F9B" w:rsidRDefault="00CA1321" w:rsidP="004C232D">
      <w:pPr>
        <w:pStyle w:val="Listenabsatz"/>
        <w:numPr>
          <w:ilvl w:val="0"/>
          <w:numId w:val="6"/>
        </w:numPr>
        <w:spacing w:after="120"/>
        <w:contextualSpacing w:val="0"/>
      </w:pPr>
      <w:r w:rsidRPr="001F2F9B">
        <w:t>the use of military force (see also 3.1).</w:t>
      </w:r>
    </w:p>
    <w:p w:rsidR="00CA1321" w:rsidRPr="001F2F9B" w:rsidRDefault="00CA1321" w:rsidP="00CA1321">
      <w:pPr>
        <w:pStyle w:val="longerquotation"/>
        <w:rPr>
          <w:lang w:val="en-GB"/>
        </w:rPr>
      </w:pPr>
      <w:r w:rsidRPr="001F2F9B">
        <w:rPr>
          <w:lang w:val="en-GB"/>
        </w:rPr>
        <w:t>The authorities, organisations and companies can plan their preparedness by adapting the threat models to their own operating environment. For example, in many municipalities a preparedness plan has been drafted on the basis of the Security strategy for society.</w:t>
      </w:r>
    </w:p>
    <w:p w:rsidR="00CA1321" w:rsidRPr="001F2F9B" w:rsidRDefault="00CA1321" w:rsidP="00CA1321">
      <w:r w:rsidRPr="001F2F9B">
        <w:t xml:space="preserve">This </w:t>
      </w:r>
      <w:r w:rsidRPr="001F2F9B">
        <w:rPr>
          <w:rStyle w:val="IntensiveHervorhebung"/>
        </w:rPr>
        <w:t>all-hazards and threats and whole-of-government approach</w:t>
      </w:r>
      <w:r w:rsidRPr="001F2F9B">
        <w:t xml:space="preserve"> provides a uniform basis for strategic preparedness to all Finnish institutions from the national level to municipalities, as well as to private sector organisations and NGOs. It is complemented by a number of decisions, strategies and guidelines related to preparedness and crisis management, issued by the Government and different administrative sectors.</w:t>
      </w:r>
    </w:p>
    <w:p w:rsidR="00CA1321" w:rsidRPr="001F2F9B" w:rsidRDefault="00CA1321" w:rsidP="00CA1321">
      <w:r w:rsidRPr="001F2F9B">
        <w:t xml:space="preserve">The </w:t>
      </w:r>
      <w:r w:rsidRPr="001F2F9B">
        <w:rPr>
          <w:rStyle w:val="IntensiveHervorhebung"/>
        </w:rPr>
        <w:t>Prime Minister’s Office</w:t>
      </w:r>
      <w:r w:rsidRPr="001F2F9B">
        <w:t xml:space="preserve"> also maintains capacities for crisis management (see chapter 3). </w:t>
      </w:r>
      <w:r w:rsidRPr="001F2F9B">
        <w:rPr>
          <w:rStyle w:val="IntensiveHervorhebung"/>
        </w:rPr>
        <w:t>National technical agencies</w:t>
      </w:r>
      <w:r w:rsidRPr="001F2F9B">
        <w:t xml:space="preserve">, such as the Finnish Meteorological Institute (FMI), Finnish Environment Institute (SYKE), Emergency Response Centre Administration and National Emergency Supply Agency (NESA), have specialised mandates for hazard monitoring and mapping, and early warning − or to ensure supplies availability, respectively (see 1.2.2 and 4.4). </w:t>
      </w:r>
    </w:p>
    <w:p w:rsidR="00CA1321" w:rsidRPr="001F2F9B" w:rsidRDefault="00CA1321" w:rsidP="00CA1321">
      <w:r w:rsidRPr="001F2F9B">
        <w:t xml:space="preserve">At the local level, the 320 </w:t>
      </w:r>
      <w:r w:rsidRPr="001F2F9B">
        <w:rPr>
          <w:rStyle w:val="IntensiveHervorhebung"/>
        </w:rPr>
        <w:t>municipalities</w:t>
      </w:r>
      <w:r w:rsidRPr="001F2F9B">
        <w:t xml:space="preserve"> have a mandatory responsibility to provide welfare as well as rescue services for their citizens. In this </w:t>
      </w:r>
      <w:r w:rsidRPr="001F2F9B">
        <w:rPr>
          <w:rStyle w:val="IntensiveHervorhebung"/>
        </w:rPr>
        <w:t>strongly decentralized political system</w:t>
      </w:r>
      <w:r w:rsidRPr="001F2F9B">
        <w:t xml:space="preserve">, municipalities can regroup themselves at the regional level to manage these services with varying administrative borderlines depending on the policy domain. </w:t>
      </w:r>
    </w:p>
    <w:p w:rsidR="00CA1321" w:rsidRPr="001F2F9B" w:rsidRDefault="00CA1321" w:rsidP="00CA1321">
      <w:r w:rsidRPr="001F2F9B">
        <w:t xml:space="preserve">There are currently 22 </w:t>
      </w:r>
      <w:r w:rsidRPr="001F2F9B">
        <w:rPr>
          <w:rStyle w:val="IntensiveHervorhebung"/>
        </w:rPr>
        <w:t xml:space="preserve">rescue regions </w:t>
      </w:r>
      <w:r w:rsidRPr="001F2F9B">
        <w:t>in Finland (see chapter 3), where rescue services organise their operations. As part of the Government’s structural policy programme, the aim is to reduce the number to 11</w:t>
      </w:r>
      <w:r w:rsidRPr="001F2F9B">
        <w:rPr>
          <w:rStyle w:val="Funotenzeichen"/>
        </w:rPr>
        <w:footnoteReference w:id="31"/>
      </w:r>
      <w:r w:rsidRPr="001F2F9B">
        <w:t xml:space="preserve">. While they are under the responsibility of local authorities, the rescue services have to follow guidelines and regulations from the </w:t>
      </w:r>
      <w:r w:rsidRPr="001F2F9B">
        <w:rPr>
          <w:rStyle w:val="IntensiveHervorhebung"/>
        </w:rPr>
        <w:t>Ministry of the Interior</w:t>
      </w:r>
      <w:r w:rsidRPr="001F2F9B">
        <w:t xml:space="preserve">, operated by the </w:t>
      </w:r>
      <w:r w:rsidRPr="001F2F9B">
        <w:rPr>
          <w:rStyle w:val="IntensiveHervorhebung"/>
        </w:rPr>
        <w:t>Department for Rescue Services</w:t>
      </w:r>
      <w:r w:rsidRPr="001F2F9B">
        <w:t xml:space="preserve">, which oversees their coverage and the quality of services in the rescue regions. </w:t>
      </w:r>
    </w:p>
    <w:p w:rsidR="00CA1321" w:rsidRPr="001F2F9B" w:rsidRDefault="00CA1321" w:rsidP="00CA1321">
      <w:r w:rsidRPr="001F2F9B">
        <w:t xml:space="preserve">Since a </w:t>
      </w:r>
      <w:r w:rsidRPr="001F2F9B">
        <w:rPr>
          <w:rStyle w:val="IntensiveHervorhebung"/>
        </w:rPr>
        <w:t>2010 reform</w:t>
      </w:r>
      <w:r w:rsidRPr="001F2F9B">
        <w:t xml:space="preserve">, Finland has a more streamlined regional state administration to control and regulate policy implementation at the local level in areas related to disaster risk reduction, such as environment, land use or safety. The reorganisation of the administrations may continue in the future with on-going reforms to reduce the number of municipalities. Finally, the specificity of the Åland Islands autonomous region makes its risk management policy rather independent from that of the central government. </w:t>
      </w:r>
      <w:r w:rsidRPr="001F2F9B">
        <w:br w:type="page"/>
      </w:r>
    </w:p>
    <w:p w:rsidR="00CA1321" w:rsidRPr="001F2F9B" w:rsidRDefault="00CA1321" w:rsidP="00CA1321">
      <w:pPr>
        <w:pStyle w:val="Beschriftung"/>
      </w:pPr>
      <w:bookmarkStart w:id="46" w:name="_Toc444087671"/>
      <w:r w:rsidRPr="001F2F9B">
        <w:lastRenderedPageBreak/>
        <w:t xml:space="preserve">Table </w:t>
      </w:r>
      <w:r w:rsidRPr="001F2F9B">
        <w:fldChar w:fldCharType="begin"/>
      </w:r>
      <w:r w:rsidRPr="001F2F9B">
        <w:instrText xml:space="preserve"> SEQ Table \* ARABIC </w:instrText>
      </w:r>
      <w:r w:rsidRPr="001F2F9B">
        <w:fldChar w:fldCharType="separate"/>
      </w:r>
      <w:r>
        <w:rPr>
          <w:noProof/>
        </w:rPr>
        <w:t>4</w:t>
      </w:r>
      <w:r w:rsidRPr="001F2F9B">
        <w:fldChar w:fldCharType="end"/>
      </w:r>
      <w:r w:rsidRPr="001F2F9B">
        <w:t>: 49 Strategic tasks which are central to securing society’s vital functions and the ministry responsible for the development of each strategic task</w:t>
      </w:r>
      <w:bookmarkEnd w:id="46"/>
    </w:p>
    <w:tbl>
      <w:tblPr>
        <w:tblW w:w="8700" w:type="dxa"/>
        <w:tblInd w:w="55" w:type="dxa"/>
        <w:tblCellMar>
          <w:left w:w="70" w:type="dxa"/>
          <w:right w:w="70" w:type="dxa"/>
        </w:tblCellMar>
        <w:tblLook w:val="04A0" w:firstRow="1" w:lastRow="0" w:firstColumn="1" w:lastColumn="0" w:noHBand="0" w:noVBand="1"/>
      </w:tblPr>
      <w:tblGrid>
        <w:gridCol w:w="6140"/>
        <w:gridCol w:w="2560"/>
      </w:tblGrid>
      <w:tr w:rsidR="00CA1321" w:rsidRPr="001F2F9B" w:rsidTr="005F6A2A">
        <w:trPr>
          <w:trHeight w:hRule="exact" w:val="519"/>
          <w:tblHeader/>
        </w:trPr>
        <w:tc>
          <w:tcPr>
            <w:tcW w:w="6140" w:type="dxa"/>
            <w:tcBorders>
              <w:top w:val="single" w:sz="4" w:space="0" w:color="5C2A59"/>
              <w:left w:val="single" w:sz="4" w:space="0" w:color="5C2A59"/>
              <w:bottom w:val="double" w:sz="6" w:space="0" w:color="5C2A59"/>
              <w:right w:val="single" w:sz="4" w:space="0" w:color="5C2A59"/>
            </w:tcBorders>
            <w:shd w:val="clear" w:color="000000" w:fill="FAF5E6"/>
            <w:vAlign w:val="center"/>
            <w:hideMark/>
          </w:tcPr>
          <w:p w:rsidR="00CA1321" w:rsidRPr="001F2F9B" w:rsidRDefault="00CA1321" w:rsidP="005F6A2A">
            <w:pPr>
              <w:spacing w:before="0" w:after="0" w:line="240" w:lineRule="auto"/>
              <w:jc w:val="left"/>
              <w:rPr>
                <w:rFonts w:ascii="Century Gothic" w:eastAsia="Times New Roman" w:hAnsi="Century Gothic" w:cs="Times New Roman"/>
                <w:color w:val="000000"/>
                <w:lang w:eastAsia="de-DE"/>
              </w:rPr>
            </w:pPr>
            <w:r w:rsidRPr="001F2F9B">
              <w:rPr>
                <w:rFonts w:ascii="Century Gothic" w:eastAsia="Times New Roman" w:hAnsi="Century Gothic" w:cs="Times New Roman"/>
                <w:color w:val="000000"/>
                <w:lang w:eastAsia="de-DE"/>
              </w:rPr>
              <w:t>STRATEGIC TASK</w:t>
            </w:r>
          </w:p>
        </w:tc>
        <w:tc>
          <w:tcPr>
            <w:tcW w:w="2560" w:type="dxa"/>
            <w:tcBorders>
              <w:top w:val="single" w:sz="4" w:space="0" w:color="5C2A59"/>
              <w:left w:val="nil"/>
              <w:bottom w:val="double" w:sz="6" w:space="0" w:color="5C2A59"/>
              <w:right w:val="single" w:sz="4" w:space="0" w:color="5C2A59"/>
            </w:tcBorders>
            <w:shd w:val="clear" w:color="000000" w:fill="FAF5E6"/>
            <w:vAlign w:val="center"/>
            <w:hideMark/>
          </w:tcPr>
          <w:p w:rsidR="00CA1321" w:rsidRPr="001F2F9B" w:rsidRDefault="00CA1321" w:rsidP="005F6A2A">
            <w:pPr>
              <w:spacing w:before="0" w:after="0" w:line="240" w:lineRule="auto"/>
              <w:jc w:val="left"/>
              <w:rPr>
                <w:rFonts w:ascii="Century Gothic" w:eastAsia="Times New Roman" w:hAnsi="Century Gothic" w:cs="Times New Roman"/>
                <w:color w:val="000000"/>
                <w:lang w:eastAsia="de-DE"/>
              </w:rPr>
            </w:pPr>
            <w:r w:rsidRPr="001F2F9B">
              <w:rPr>
                <w:rFonts w:ascii="Century Gothic" w:eastAsia="Times New Roman" w:hAnsi="Century Gothic" w:cs="Times New Roman"/>
                <w:color w:val="000000"/>
                <w:lang w:eastAsia="de-DE"/>
              </w:rPr>
              <w:t>RESPONSIBLE MINISTRY</w:t>
            </w:r>
          </w:p>
        </w:tc>
      </w:tr>
      <w:tr w:rsidR="00CA1321" w:rsidRPr="001F2F9B" w:rsidTr="005F6A2A">
        <w:trPr>
          <w:trHeight w:hRule="exact" w:val="375"/>
        </w:trPr>
        <w:tc>
          <w:tcPr>
            <w:tcW w:w="6140" w:type="dxa"/>
            <w:tcBorders>
              <w:top w:val="nil"/>
              <w:left w:val="single" w:sz="4" w:space="0" w:color="5C2A59"/>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Style w:val="IntensiveHervorhebung"/>
                <w:sz w:val="24"/>
                <w:szCs w:val="24"/>
                <w:lang w:eastAsia="de-DE"/>
              </w:rPr>
            </w:pPr>
            <w:r w:rsidRPr="001F2F9B">
              <w:rPr>
                <w:rStyle w:val="IntensiveHervorhebung"/>
                <w:sz w:val="24"/>
                <w:szCs w:val="24"/>
                <w:lang w:eastAsia="de-DE"/>
              </w:rPr>
              <w:t xml:space="preserve">Management of Government affairs </w:t>
            </w:r>
          </w:p>
        </w:tc>
        <w:tc>
          <w:tcPr>
            <w:tcW w:w="2560" w:type="dxa"/>
            <w:tcBorders>
              <w:top w:val="nil"/>
              <w:left w:val="nil"/>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xml:space="preserve">Guaranteeing the proper functioning of the Government </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PMO</w:t>
            </w:r>
          </w:p>
        </w:tc>
      </w:tr>
      <w:tr w:rsidR="00CA1321" w:rsidRPr="001F2F9B" w:rsidTr="005F6A2A">
        <w:trPr>
          <w:trHeight w:val="6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Finland’s activities in the European Union and securing the national preparation and handling of EU matters</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PMO</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Functioning of Government communications</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PMO</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Maintenance of the Government’s situation picture</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PMO</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Securing the rule of law</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MoJ</w:t>
            </w:r>
          </w:p>
        </w:tc>
      </w:tr>
      <w:tr w:rsidR="00CA1321" w:rsidRPr="001F2F9B" w:rsidTr="005F6A2A">
        <w:trPr>
          <w:trHeight w:val="375"/>
        </w:trPr>
        <w:tc>
          <w:tcPr>
            <w:tcW w:w="6140" w:type="dxa"/>
            <w:tcBorders>
              <w:top w:val="nil"/>
              <w:left w:val="single" w:sz="4" w:space="0" w:color="5C2A59"/>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Holding elections</w:t>
            </w:r>
          </w:p>
        </w:tc>
        <w:tc>
          <w:tcPr>
            <w:tcW w:w="2560" w:type="dxa"/>
            <w:tcBorders>
              <w:top w:val="nil"/>
              <w:left w:val="nil"/>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MoJ</w:t>
            </w:r>
          </w:p>
        </w:tc>
      </w:tr>
      <w:tr w:rsidR="00CA1321" w:rsidRPr="001F2F9B" w:rsidTr="005F6A2A">
        <w:trPr>
          <w:trHeight w:hRule="exact" w:val="375"/>
        </w:trPr>
        <w:tc>
          <w:tcPr>
            <w:tcW w:w="6140" w:type="dxa"/>
            <w:tcBorders>
              <w:top w:val="double" w:sz="4" w:space="0" w:color="5C2A59"/>
              <w:left w:val="single" w:sz="4" w:space="0" w:color="5C2A59"/>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Style w:val="IntensiveHervorhebung"/>
                <w:sz w:val="24"/>
                <w:szCs w:val="24"/>
                <w:lang w:eastAsia="de-DE"/>
              </w:rPr>
            </w:pPr>
            <w:r w:rsidRPr="001F2F9B">
              <w:rPr>
                <w:rStyle w:val="IntensiveHervorhebung"/>
                <w:sz w:val="24"/>
                <w:szCs w:val="24"/>
                <w:lang w:eastAsia="de-DE"/>
              </w:rPr>
              <w:t>International activity</w:t>
            </w:r>
          </w:p>
        </w:tc>
        <w:tc>
          <w:tcPr>
            <w:tcW w:w="2560" w:type="dxa"/>
            <w:tcBorders>
              <w:top w:val="double" w:sz="4" w:space="0" w:color="5C2A59"/>
              <w:left w:val="nil"/>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Style w:val="IntensiveHervorhebung"/>
                <w:sz w:val="24"/>
                <w:szCs w:val="24"/>
              </w:rPr>
            </w:pPr>
            <w:r w:rsidRPr="001F2F9B">
              <w:rPr>
                <w:rStyle w:val="IntensiveHervorhebung"/>
                <w:sz w:val="24"/>
                <w:szCs w:val="24"/>
              </w:rPr>
              <w:t> </w:t>
            </w:r>
          </w:p>
        </w:tc>
      </w:tr>
      <w:tr w:rsidR="00CA1321" w:rsidRPr="001F2F9B" w:rsidTr="005F6A2A">
        <w:trPr>
          <w:trHeight w:val="3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Maintaining contacts to foreign states and key international actors</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MFA</w:t>
            </w:r>
          </w:p>
        </w:tc>
      </w:tr>
      <w:tr w:rsidR="00CA1321" w:rsidRPr="001F2F9B" w:rsidTr="005F6A2A">
        <w:trPr>
          <w:trHeight w:val="6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Protecting and assisting abroad Finnish citizens and those residing in Finland on a permanent basis</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MFA</w:t>
            </w:r>
          </w:p>
        </w:tc>
      </w:tr>
      <w:tr w:rsidR="00CA1321" w:rsidRPr="001F2F9B" w:rsidTr="005F6A2A">
        <w:trPr>
          <w:trHeight w:val="3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Securing Finland’s foreign trade</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MFA</w:t>
            </w:r>
          </w:p>
        </w:tc>
      </w:tr>
      <w:tr w:rsidR="00CA1321" w:rsidRPr="001F2F9B" w:rsidTr="005F6A2A">
        <w:trPr>
          <w:trHeight w:val="3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Comprehensive crisis management</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MFA</w:t>
            </w:r>
          </w:p>
        </w:tc>
      </w:tr>
      <w:tr w:rsidR="00CA1321" w:rsidRPr="001F2F9B" w:rsidTr="005F6A2A">
        <w:trPr>
          <w:trHeight w:val="3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International military crisis management</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MoD</w:t>
            </w:r>
          </w:p>
        </w:tc>
      </w:tr>
      <w:tr w:rsidR="00CA1321" w:rsidRPr="001F2F9B" w:rsidTr="005F6A2A">
        <w:trPr>
          <w:trHeight w:val="3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International civilian crisis management</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MoI</w:t>
            </w:r>
          </w:p>
        </w:tc>
      </w:tr>
      <w:tr w:rsidR="00CA1321" w:rsidRPr="001F2F9B" w:rsidTr="005F6A2A">
        <w:trPr>
          <w:trHeight w:val="375"/>
        </w:trPr>
        <w:tc>
          <w:tcPr>
            <w:tcW w:w="6140" w:type="dxa"/>
            <w:tcBorders>
              <w:top w:val="single" w:sz="4" w:space="0" w:color="5C2A59"/>
              <w:left w:val="single" w:sz="4" w:space="0" w:color="5C2A59"/>
              <w:bottom w:val="double" w:sz="4" w:space="0" w:color="auto"/>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International disaster response</w:t>
            </w:r>
          </w:p>
        </w:tc>
        <w:tc>
          <w:tcPr>
            <w:tcW w:w="2560" w:type="dxa"/>
            <w:tcBorders>
              <w:top w:val="single" w:sz="4" w:space="0" w:color="5C2A59"/>
              <w:left w:val="nil"/>
              <w:bottom w:val="double" w:sz="4" w:space="0" w:color="auto"/>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MoI</w:t>
            </w:r>
          </w:p>
        </w:tc>
      </w:tr>
      <w:tr w:rsidR="00CA1321" w:rsidRPr="001F2F9B" w:rsidTr="005F6A2A">
        <w:trPr>
          <w:trHeight w:val="375"/>
        </w:trPr>
        <w:tc>
          <w:tcPr>
            <w:tcW w:w="6140" w:type="dxa"/>
            <w:tcBorders>
              <w:top w:val="double" w:sz="4" w:space="0" w:color="5C2A59"/>
              <w:left w:val="single" w:sz="4" w:space="0" w:color="5C2A59"/>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Style w:val="IntensiveHervorhebung"/>
                <w:sz w:val="24"/>
                <w:szCs w:val="24"/>
                <w:lang w:eastAsia="de-DE"/>
              </w:rPr>
            </w:pPr>
            <w:r w:rsidRPr="001F2F9B">
              <w:rPr>
                <w:rStyle w:val="IntensiveHervorhebung"/>
                <w:sz w:val="24"/>
                <w:szCs w:val="24"/>
                <w:lang w:eastAsia="de-DE"/>
              </w:rPr>
              <w:t>Finland’s defence capability</w:t>
            </w:r>
          </w:p>
        </w:tc>
        <w:tc>
          <w:tcPr>
            <w:tcW w:w="2560" w:type="dxa"/>
            <w:tcBorders>
              <w:top w:val="double" w:sz="4" w:space="0" w:color="5C2A59"/>
              <w:left w:val="nil"/>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w:t>
            </w:r>
          </w:p>
        </w:tc>
      </w:tr>
      <w:tr w:rsidR="00CA1321" w:rsidRPr="001F2F9B" w:rsidTr="005F6A2A">
        <w:trPr>
          <w:trHeight w:val="3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Finland´s military defence</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MoD</w:t>
            </w:r>
          </w:p>
        </w:tc>
      </w:tr>
      <w:tr w:rsidR="00CA1321" w:rsidRPr="001F2F9B" w:rsidTr="005F6A2A">
        <w:trPr>
          <w:trHeight w:val="375"/>
        </w:trPr>
        <w:tc>
          <w:tcPr>
            <w:tcW w:w="6140" w:type="dxa"/>
            <w:tcBorders>
              <w:top w:val="single" w:sz="4" w:space="0" w:color="5C2A59"/>
              <w:left w:val="single" w:sz="4" w:space="0" w:color="5C2A59"/>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Supporting the other authorities</w:t>
            </w:r>
          </w:p>
        </w:tc>
        <w:tc>
          <w:tcPr>
            <w:tcW w:w="2560" w:type="dxa"/>
            <w:tcBorders>
              <w:top w:val="single" w:sz="4" w:space="0" w:color="5C2A59"/>
              <w:left w:val="nil"/>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MoD</w:t>
            </w:r>
          </w:p>
        </w:tc>
      </w:tr>
      <w:tr w:rsidR="00CA1321" w:rsidRPr="001F2F9B" w:rsidTr="005F6A2A">
        <w:trPr>
          <w:trHeight w:val="375"/>
        </w:trPr>
        <w:tc>
          <w:tcPr>
            <w:tcW w:w="6140" w:type="dxa"/>
            <w:tcBorders>
              <w:top w:val="double" w:sz="4" w:space="0" w:color="5C2A59"/>
              <w:left w:val="single" w:sz="4" w:space="0" w:color="5C2A59"/>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Style w:val="IntensiveHervorhebung"/>
                <w:sz w:val="24"/>
                <w:szCs w:val="24"/>
                <w:lang w:eastAsia="de-DE"/>
              </w:rPr>
            </w:pPr>
            <w:r w:rsidRPr="001F2F9B">
              <w:rPr>
                <w:rStyle w:val="IntensiveHervorhebung"/>
                <w:sz w:val="24"/>
                <w:szCs w:val="24"/>
                <w:lang w:eastAsia="de-DE"/>
              </w:rPr>
              <w:t>Internal security</w:t>
            </w:r>
          </w:p>
        </w:tc>
        <w:tc>
          <w:tcPr>
            <w:tcW w:w="2560" w:type="dxa"/>
            <w:tcBorders>
              <w:top w:val="double" w:sz="4" w:space="0" w:color="5C2A59"/>
              <w:left w:val="nil"/>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Guaranteeing protection under the law</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MoJ</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Public order and security</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MoI</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Emergency services and maritime search and rescue</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MoI</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Flood risk management and dam safety</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MoAF</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Emergency response functions</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MoI</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Oil and chemical spill response on land and water</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Border management</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MoI</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Immigration control</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MoI</w:t>
            </w:r>
          </w:p>
        </w:tc>
      </w:tr>
      <w:tr w:rsidR="00CA1321" w:rsidRPr="001F2F9B" w:rsidTr="005F6A2A">
        <w:trPr>
          <w:trHeight w:val="375"/>
        </w:trPr>
        <w:tc>
          <w:tcPr>
            <w:tcW w:w="6140" w:type="dxa"/>
            <w:tcBorders>
              <w:top w:val="nil"/>
              <w:left w:val="single" w:sz="4" w:space="0" w:color="5C2A59"/>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The management of a major influx of asylum seekers</w:t>
            </w:r>
          </w:p>
        </w:tc>
        <w:tc>
          <w:tcPr>
            <w:tcW w:w="2560" w:type="dxa"/>
            <w:tcBorders>
              <w:top w:val="nil"/>
              <w:left w:val="nil"/>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MoI</w:t>
            </w:r>
          </w:p>
        </w:tc>
      </w:tr>
      <w:tr w:rsidR="00CA1321" w:rsidRPr="001F2F9B" w:rsidTr="005F6A2A">
        <w:trPr>
          <w:trHeight w:val="375"/>
        </w:trPr>
        <w:tc>
          <w:tcPr>
            <w:tcW w:w="6140" w:type="dxa"/>
            <w:tcBorders>
              <w:top w:val="double" w:sz="4" w:space="0" w:color="5C2A59"/>
              <w:left w:val="single" w:sz="4" w:space="0" w:color="5C2A59"/>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Style w:val="IntensiveHervorhebung"/>
                <w:sz w:val="24"/>
                <w:szCs w:val="24"/>
                <w:lang w:eastAsia="de-DE"/>
              </w:rPr>
            </w:pPr>
            <w:r w:rsidRPr="001F2F9B">
              <w:rPr>
                <w:rStyle w:val="IntensiveHervorhebung"/>
                <w:sz w:val="24"/>
                <w:szCs w:val="24"/>
                <w:lang w:eastAsia="de-DE"/>
              </w:rPr>
              <w:t>Functioning of the economy and infrastructure</w:t>
            </w:r>
          </w:p>
        </w:tc>
        <w:tc>
          <w:tcPr>
            <w:tcW w:w="2560" w:type="dxa"/>
            <w:tcBorders>
              <w:top w:val="double" w:sz="4" w:space="0" w:color="5C2A59"/>
              <w:left w:val="nil"/>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Acquiring and allocating financial resources</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MoF</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The financial system and money management</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MoF</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lastRenderedPageBreak/>
              <w:t>Safeguarding the insurance services</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MoSAH</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Securing the fuel supply</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MoEE</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Safeguarding the electric power supply</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MoEE</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Safeguarding the electronic ICT systems</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MoTC</w:t>
            </w:r>
          </w:p>
        </w:tc>
      </w:tr>
      <w:tr w:rsidR="00CA1321" w:rsidRPr="001F2F9B" w:rsidTr="005F6A2A">
        <w:trPr>
          <w:trHeight w:val="6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Safeguarding the state administration’s IT functions and information security and the service systems common to the state administration</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MoF</w:t>
            </w:r>
          </w:p>
        </w:tc>
      </w:tr>
      <w:tr w:rsidR="00CA1321" w:rsidRPr="001F2F9B" w:rsidTr="005F6A2A">
        <w:trPr>
          <w:trHeight w:val="6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xml:space="preserve">Supporting the construction and maintenance of warning and alert systems </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MoTC</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Safeguarding the continuation of transports</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MoTC</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Safeguarding the primary production of food supply</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MoAF</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Safeguarding the water supply</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MoAF</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Safeguarding food processing and distribution</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MoEE</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Safeguarding critical industries and services</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MoEE</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Guaranteeing housing</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Securing a sufficient labour workforce</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MoEE</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Maintaining the education and research system</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MoEC</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xml:space="preserve">Detecting, controlling and adapting to changes in the environment </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w:t>
            </w:r>
          </w:p>
        </w:tc>
      </w:tr>
      <w:tr w:rsidR="00CA1321" w:rsidRPr="001F2F9B" w:rsidTr="005F6A2A">
        <w:trPr>
          <w:trHeight w:val="375"/>
        </w:trPr>
        <w:tc>
          <w:tcPr>
            <w:tcW w:w="6140" w:type="dxa"/>
            <w:tcBorders>
              <w:top w:val="nil"/>
              <w:left w:val="single" w:sz="4" w:space="0" w:color="5C2A59"/>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Waste management</w:t>
            </w:r>
          </w:p>
        </w:tc>
        <w:tc>
          <w:tcPr>
            <w:tcW w:w="2560" w:type="dxa"/>
            <w:tcBorders>
              <w:top w:val="nil"/>
              <w:left w:val="nil"/>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w:t>
            </w:r>
          </w:p>
        </w:tc>
      </w:tr>
      <w:tr w:rsidR="00CA1321" w:rsidRPr="001F2F9B" w:rsidTr="005F6A2A">
        <w:trPr>
          <w:trHeight w:val="375"/>
        </w:trPr>
        <w:tc>
          <w:tcPr>
            <w:tcW w:w="6140" w:type="dxa"/>
            <w:tcBorders>
              <w:top w:val="double" w:sz="4" w:space="0" w:color="5C2A59"/>
              <w:left w:val="single" w:sz="4" w:space="0" w:color="5C2A59"/>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Style w:val="IntensiveHervorhebung"/>
                <w:sz w:val="24"/>
                <w:szCs w:val="24"/>
                <w:lang w:eastAsia="de-DE"/>
              </w:rPr>
            </w:pPr>
            <w:r w:rsidRPr="001F2F9B">
              <w:rPr>
                <w:rStyle w:val="IntensiveHervorhebung"/>
                <w:sz w:val="24"/>
                <w:szCs w:val="24"/>
                <w:lang w:eastAsia="de-DE"/>
              </w:rPr>
              <w:t>The population’s income security and capability to function</w:t>
            </w:r>
          </w:p>
        </w:tc>
        <w:tc>
          <w:tcPr>
            <w:tcW w:w="2560" w:type="dxa"/>
            <w:tcBorders>
              <w:top w:val="double" w:sz="4" w:space="0" w:color="5C2A59"/>
              <w:left w:val="nil"/>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w:t>
            </w:r>
          </w:p>
        </w:tc>
      </w:tr>
      <w:tr w:rsidR="00CA1321" w:rsidRPr="001F2F9B" w:rsidTr="005F6A2A">
        <w:trPr>
          <w:trHeight w:val="3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Income security</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MoSAH</w:t>
            </w:r>
          </w:p>
        </w:tc>
      </w:tr>
      <w:tr w:rsidR="00CA1321" w:rsidRPr="001F2F9B" w:rsidTr="005F6A2A">
        <w:trPr>
          <w:trHeight w:val="6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Securing the social and health care services and environmental health care services</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MoSAH</w:t>
            </w:r>
          </w:p>
        </w:tc>
      </w:tr>
      <w:tr w:rsidR="00CA1321" w:rsidRPr="001F2F9B" w:rsidTr="005F6A2A">
        <w:trPr>
          <w:trHeight w:val="375"/>
        </w:trPr>
        <w:tc>
          <w:tcPr>
            <w:tcW w:w="6140" w:type="dxa"/>
            <w:tcBorders>
              <w:top w:val="single" w:sz="4" w:space="0" w:color="5C2A59"/>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xml:space="preserve">Guaranteeing the availability of medical supplies and equipment </w:t>
            </w:r>
          </w:p>
        </w:tc>
        <w:tc>
          <w:tcPr>
            <w:tcW w:w="2560" w:type="dxa"/>
            <w:tcBorders>
              <w:top w:val="single" w:sz="4" w:space="0" w:color="5C2A59"/>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MoSAH</w:t>
            </w:r>
          </w:p>
        </w:tc>
      </w:tr>
      <w:tr w:rsidR="00CA1321" w:rsidRPr="001F2F9B" w:rsidTr="005F6A2A">
        <w:trPr>
          <w:trHeight w:val="375"/>
        </w:trPr>
        <w:tc>
          <w:tcPr>
            <w:tcW w:w="6140" w:type="dxa"/>
            <w:tcBorders>
              <w:top w:val="single" w:sz="4" w:space="0" w:color="5C2A59"/>
              <w:left w:val="single" w:sz="4" w:space="0" w:color="5C2A59"/>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xml:space="preserve">The detection, surveillance and management systems for health risks </w:t>
            </w:r>
          </w:p>
        </w:tc>
        <w:tc>
          <w:tcPr>
            <w:tcW w:w="2560" w:type="dxa"/>
            <w:tcBorders>
              <w:top w:val="single" w:sz="4" w:space="0" w:color="5C2A59"/>
              <w:left w:val="nil"/>
              <w:bottom w:val="doub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MoSAH</w:t>
            </w:r>
          </w:p>
        </w:tc>
      </w:tr>
      <w:tr w:rsidR="00CA1321" w:rsidRPr="001F2F9B" w:rsidTr="005F6A2A">
        <w:trPr>
          <w:trHeight w:val="375"/>
        </w:trPr>
        <w:tc>
          <w:tcPr>
            <w:tcW w:w="6140" w:type="dxa"/>
            <w:tcBorders>
              <w:top w:val="double" w:sz="4" w:space="0" w:color="5C2A59"/>
              <w:left w:val="single" w:sz="4" w:space="0" w:color="5C2A59"/>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Style w:val="IntensiveHervorhebung"/>
                <w:sz w:val="24"/>
                <w:szCs w:val="24"/>
                <w:lang w:eastAsia="de-DE"/>
              </w:rPr>
            </w:pPr>
            <w:r w:rsidRPr="001F2F9B">
              <w:rPr>
                <w:rStyle w:val="IntensiveHervorhebung"/>
                <w:sz w:val="24"/>
                <w:szCs w:val="24"/>
                <w:lang w:eastAsia="de-DE"/>
              </w:rPr>
              <w:t xml:space="preserve">Psychological resilience to crisis </w:t>
            </w:r>
          </w:p>
        </w:tc>
        <w:tc>
          <w:tcPr>
            <w:tcW w:w="2560" w:type="dxa"/>
            <w:tcBorders>
              <w:top w:val="double" w:sz="4" w:space="0" w:color="5C2A59"/>
              <w:left w:val="nil"/>
              <w:bottom w:val="single" w:sz="4" w:space="0" w:color="5C2A59"/>
              <w:right w:val="single" w:sz="4" w:space="0" w:color="5C2A59"/>
            </w:tcBorders>
            <w:shd w:val="clear" w:color="auto" w:fill="EEE9EE"/>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 </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Education</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MoEC</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Strengthening cultural identity and protecting cultural heritage</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MoEC</w:t>
            </w:r>
          </w:p>
        </w:tc>
      </w:tr>
      <w:tr w:rsidR="00CA1321" w:rsidRPr="001F2F9B" w:rsidTr="005F6A2A">
        <w:trPr>
          <w:trHeight w:val="375"/>
        </w:trPr>
        <w:tc>
          <w:tcPr>
            <w:tcW w:w="6140" w:type="dxa"/>
            <w:tcBorders>
              <w:top w:val="nil"/>
              <w:left w:val="single" w:sz="4" w:space="0" w:color="5C2A59"/>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Securing religious services</w:t>
            </w:r>
          </w:p>
        </w:tc>
        <w:tc>
          <w:tcPr>
            <w:tcW w:w="2560" w:type="dxa"/>
            <w:tcBorders>
              <w:top w:val="nil"/>
              <w:left w:val="nil"/>
              <w:bottom w:val="single" w:sz="4" w:space="0" w:color="5C2A59"/>
              <w:right w:val="single" w:sz="4" w:space="0" w:color="5C2A59"/>
            </w:tcBorders>
            <w:shd w:val="clear" w:color="auto" w:fill="auto"/>
            <w:vAlign w:val="center"/>
            <w:hideMark/>
          </w:tcPr>
          <w:p w:rsidR="00CA1321" w:rsidRPr="001F2F9B" w:rsidRDefault="00CA1321" w:rsidP="005F6A2A">
            <w:pPr>
              <w:spacing w:before="0" w:after="0" w:line="240" w:lineRule="auto"/>
              <w:jc w:val="left"/>
              <w:rPr>
                <w:rFonts w:ascii="Calibri" w:eastAsia="Times New Roman" w:hAnsi="Calibri" w:cs="Times New Roman"/>
                <w:color w:val="000000"/>
                <w:sz w:val="20"/>
                <w:szCs w:val="20"/>
                <w:lang w:eastAsia="de-DE"/>
              </w:rPr>
            </w:pPr>
            <w:r w:rsidRPr="001F2F9B">
              <w:rPr>
                <w:rFonts w:ascii="Calibri" w:eastAsia="Times New Roman" w:hAnsi="Calibri" w:cs="Times New Roman"/>
                <w:color w:val="000000"/>
                <w:sz w:val="20"/>
                <w:szCs w:val="20"/>
                <w:lang w:eastAsia="de-DE"/>
              </w:rPr>
              <w:t>MoEC</w:t>
            </w:r>
          </w:p>
        </w:tc>
      </w:tr>
    </w:tbl>
    <w:p w:rsidR="00CA1321" w:rsidRPr="001F2F9B" w:rsidRDefault="00CA1321" w:rsidP="00CA1321">
      <w:pPr>
        <w:pStyle w:val="Beschriftung"/>
        <w:spacing w:before="120"/>
      </w:pPr>
      <w:r w:rsidRPr="001F2F9B">
        <w:t>Source: “Security Strategy for Society”, Government Resolution 16.12.2010, Finnish Ministry of Defense.</w:t>
      </w:r>
    </w:p>
    <w:p w:rsidR="00CA1321" w:rsidRPr="001F2F9B" w:rsidRDefault="00CA1321" w:rsidP="00CA1321"/>
    <w:p w:rsidR="00CA1321" w:rsidRPr="001F2F9B" w:rsidRDefault="00CA1321" w:rsidP="00CA1321">
      <w:pPr>
        <w:pStyle w:val="berschrift3"/>
        <w:ind w:left="1288"/>
        <w:rPr>
          <w:lang w:val="en-GB"/>
        </w:rPr>
      </w:pPr>
      <w:bookmarkStart w:id="47" w:name="_Toc444087614"/>
      <w:bookmarkStart w:id="48" w:name="_Toc444176187"/>
      <w:bookmarkStart w:id="49" w:name="_Toc445378510"/>
      <w:r w:rsidRPr="001F2F9B">
        <w:rPr>
          <w:lang w:val="en-GB"/>
        </w:rPr>
        <w:t>Strategy scope and focus</w:t>
      </w:r>
      <w:bookmarkEnd w:id="47"/>
      <w:bookmarkEnd w:id="48"/>
      <w:bookmarkEnd w:id="49"/>
    </w:p>
    <w:p w:rsidR="00CA1321" w:rsidRPr="001F2F9B" w:rsidRDefault="00CA1321" w:rsidP="00CA1321">
      <w:r w:rsidRPr="001F2F9B">
        <w:t xml:space="preserve">As described in section 1.1, Finland is a country with a very low risk profile in terms of natural and man-made-disasters with nearly no experience in major disasters. Considering the all-hazard approach of the Finish crisis management system which focuses on up-keeping the vital functions of society in all </w:t>
      </w:r>
      <w:r w:rsidRPr="001F2F9B">
        <w:lastRenderedPageBreak/>
        <w:t>situations, one can say that the strategy focus is on preparedness and prevention rather than on response and recovery.</w:t>
      </w:r>
    </w:p>
    <w:p w:rsidR="00CA1321" w:rsidRPr="001F2F9B" w:rsidRDefault="00CA1321" w:rsidP="00CA1321"/>
    <w:p w:rsidR="00CA1321" w:rsidRPr="001F2F9B" w:rsidRDefault="00CA1321" w:rsidP="00CA1321">
      <w:pPr>
        <w:pStyle w:val="berschrift3"/>
        <w:ind w:left="1288"/>
        <w:rPr>
          <w:rFonts w:cs="Times New Roman"/>
          <w:lang w:val="en-GB"/>
        </w:rPr>
      </w:pPr>
      <w:bookmarkStart w:id="50" w:name="_Toc444087615"/>
      <w:bookmarkStart w:id="51" w:name="_Toc444176188"/>
      <w:bookmarkStart w:id="52" w:name="_Toc445378511"/>
      <w:r w:rsidRPr="001F2F9B">
        <w:rPr>
          <w:lang w:val="en-GB"/>
        </w:rPr>
        <w:t>Monitoring and analytical support to policy making; R&amp;D</w:t>
      </w:r>
      <w:bookmarkEnd w:id="50"/>
      <w:bookmarkEnd w:id="51"/>
      <w:bookmarkEnd w:id="52"/>
    </w:p>
    <w:p w:rsidR="00CA1321" w:rsidRPr="001F2F9B" w:rsidRDefault="00CA1321" w:rsidP="00CA1321">
      <w:r w:rsidRPr="001F2F9B">
        <w:t>Data on key hazards and vulnerabilities are monitored, archived and disseminated by various ministries and technical agencies in Finland depending on the hazard characteristics, to better assess the risks of disturbances and threats.</w:t>
      </w:r>
    </w:p>
    <w:p w:rsidR="00CA1321" w:rsidRPr="001F2F9B" w:rsidRDefault="00CA1321" w:rsidP="00CA1321">
      <w:r w:rsidRPr="001F2F9B">
        <w:t xml:space="preserve">Regarding hazard monitoring, Finland is equipped with efficient modern and high-tech monitoring networks, operated by its technical agencies. The </w:t>
      </w:r>
      <w:r w:rsidRPr="001F2F9B">
        <w:rPr>
          <w:rStyle w:val="IntensiveHervorhebung"/>
        </w:rPr>
        <w:t>Finnish Meteorological Institute (FMI)</w:t>
      </w:r>
      <w:r w:rsidRPr="001F2F9B">
        <w:t xml:space="preserve"> is responsible for real-time 24/7 monitoring, achieving and disseminating data associated with weather and marine events. The </w:t>
      </w:r>
      <w:r w:rsidRPr="001F2F9B">
        <w:rPr>
          <w:rStyle w:val="IntensiveHervorhebung"/>
        </w:rPr>
        <w:t>Finnish Environment Institute (SYKE)</w:t>
      </w:r>
      <w:r w:rsidRPr="001F2F9B">
        <w:t xml:space="preserve"> monitors water levels and discharges in rivers and lakes. There are also 288 stations continuously measuring radiation in the environment operated by the </w:t>
      </w:r>
      <w:r w:rsidRPr="001F2F9B">
        <w:rPr>
          <w:rStyle w:val="IntensiveHervorhebung"/>
        </w:rPr>
        <w:t>Radiation and Nuclear Safety Authority (STUK)</w:t>
      </w:r>
      <w:r w:rsidRPr="001F2F9B">
        <w:t xml:space="preserve">. When needed, specific monitoring and surveillance processes can be activated by Ministries. For instance, the Ministry of the Interior organises air patrolling on behalf of the 22 rescue services (see chapter 3) to detect forest fires from the air during periods of dry conditions, while the Ministry of Agriculture has agreed on an action plan with the National Land Survey, FMI and SYKE for taking and processing rapid aerial photos in case of natural events and disasters, such as storms and floods. </w:t>
      </w:r>
      <w:r w:rsidRPr="001F2F9B">
        <w:rPr>
          <w:rStyle w:val="Hervorhebung"/>
        </w:rPr>
        <w:t>Space technology</w:t>
      </w:r>
      <w:r w:rsidRPr="001F2F9B">
        <w:t xml:space="preserve"> is also used in Finland for forest-fire detection as well as for situation assessment after disasters.</w:t>
      </w:r>
    </w:p>
    <w:p w:rsidR="00CA1321" w:rsidRPr="001F2F9B" w:rsidRDefault="00CA1321" w:rsidP="00CA1321">
      <w:r w:rsidRPr="001F2F9B">
        <w:t xml:space="preserve">Loss-data collection is operated by the Ministry of the Interior via the national incident database. In addition, the Finnish Environment Institute collects flood loss-data from municipalities. </w:t>
      </w:r>
      <w:r w:rsidRPr="001F2F9B">
        <w:rPr>
          <w:rStyle w:val="Hervorhebung"/>
        </w:rPr>
        <w:t>Insurance companies</w:t>
      </w:r>
      <w:r w:rsidRPr="001F2F9B">
        <w:t xml:space="preserve"> have also developed their own database.</w:t>
      </w:r>
    </w:p>
    <w:p w:rsidR="00CA1321" w:rsidRPr="001F2F9B" w:rsidRDefault="00CA1321" w:rsidP="00CA1321">
      <w:r w:rsidRPr="001F2F9B">
        <w:t>See also chapter 1.1.3 for international cooperation in monitoring.</w:t>
      </w:r>
    </w:p>
    <w:p w:rsidR="00CA1321" w:rsidRPr="001F2F9B" w:rsidRDefault="00CA1321" w:rsidP="00CA1321"/>
    <w:p w:rsidR="00CA1321" w:rsidRPr="001F2F9B" w:rsidRDefault="00CA1321" w:rsidP="00CA1321">
      <w:pPr>
        <w:pStyle w:val="berschrift3"/>
        <w:ind w:left="1288"/>
        <w:rPr>
          <w:lang w:val="en-GB"/>
        </w:rPr>
      </w:pPr>
      <w:bookmarkStart w:id="53" w:name="_Toc444087616"/>
      <w:bookmarkStart w:id="54" w:name="_Toc444176189"/>
      <w:bookmarkStart w:id="55" w:name="_Toc445378512"/>
      <w:r w:rsidRPr="001F2F9B">
        <w:rPr>
          <w:lang w:val="en-GB"/>
        </w:rPr>
        <w:t>Policy for Prevention</w:t>
      </w:r>
      <w:bookmarkEnd w:id="53"/>
      <w:bookmarkEnd w:id="54"/>
      <w:bookmarkEnd w:id="55"/>
    </w:p>
    <w:p w:rsidR="00CA1321" w:rsidRPr="001F2F9B" w:rsidRDefault="00CA1321" w:rsidP="00CA1321">
      <w:r w:rsidRPr="001F2F9B">
        <w:t>Finland’s policy approach of crisis management doesn’t differ between prevention, preparedness, response and relief &amp; recovery, though the focus is on preparedness, as mentioned before. As mentioned under 1.2 and 1.2.1, each “competent authority” at all levels is responsible for ensuring the maintenance of vital functions for society within their duties. This covers all aspects of prevention, preparedness, response, relief and recovery.</w:t>
      </w:r>
    </w:p>
    <w:p w:rsidR="00CA1321" w:rsidRPr="001F2F9B" w:rsidRDefault="00CA1321" w:rsidP="00CA1321">
      <w:r w:rsidRPr="001F2F9B">
        <w:t>If the Finnish approach should still be separated into different phases, it would according to the Country Report Finland 2004</w:t>
      </w:r>
      <w:r w:rsidRPr="001F2F9B">
        <w:rPr>
          <w:rStyle w:val="Funotenzeichen"/>
        </w:rPr>
        <w:footnoteReference w:id="32"/>
      </w:r>
      <w:r w:rsidRPr="001F2F9B">
        <w:t xml:space="preserve"> be prevention, early warning measures and effective response, each one using the following three methods: legislation, technical solutions and education.</w:t>
      </w:r>
    </w:p>
    <w:p w:rsidR="00CA1321" w:rsidRPr="001F2F9B" w:rsidRDefault="00CA1321" w:rsidP="00CA1321"/>
    <w:p w:rsidR="00CA1321" w:rsidRPr="001F2F9B" w:rsidRDefault="00CA1321" w:rsidP="00CA1321">
      <w:pPr>
        <w:pStyle w:val="berschrift3"/>
        <w:ind w:left="1288"/>
        <w:rPr>
          <w:lang w:val="en-GB"/>
        </w:rPr>
      </w:pPr>
      <w:bookmarkStart w:id="56" w:name="_Toc444087617"/>
      <w:bookmarkStart w:id="57" w:name="_Toc444176190"/>
      <w:bookmarkStart w:id="58" w:name="_Toc445378513"/>
      <w:r w:rsidRPr="001F2F9B">
        <w:rPr>
          <w:lang w:val="en-GB"/>
        </w:rPr>
        <w:t>Policy for Preparedness</w:t>
      </w:r>
      <w:bookmarkEnd w:id="56"/>
      <w:bookmarkEnd w:id="57"/>
      <w:bookmarkEnd w:id="58"/>
    </w:p>
    <w:p w:rsidR="00CA1321" w:rsidRPr="001F2F9B" w:rsidRDefault="00CA1321" w:rsidP="00CA1321">
      <w:r w:rsidRPr="001F2F9B">
        <w:t>See 1.2.3</w:t>
      </w:r>
    </w:p>
    <w:p w:rsidR="00CA1321" w:rsidRPr="001F2F9B" w:rsidRDefault="00CA1321" w:rsidP="00CA1321"/>
    <w:p w:rsidR="00CA1321" w:rsidRPr="001F2F9B" w:rsidRDefault="00CA1321" w:rsidP="00CA1321">
      <w:pPr>
        <w:pStyle w:val="berschrift3"/>
        <w:ind w:left="1288"/>
        <w:rPr>
          <w:lang w:val="en-GB"/>
        </w:rPr>
      </w:pPr>
      <w:bookmarkStart w:id="59" w:name="_Toc444087618"/>
      <w:bookmarkStart w:id="60" w:name="_Toc444176191"/>
      <w:bookmarkStart w:id="61" w:name="_Toc445378514"/>
      <w:r w:rsidRPr="001F2F9B">
        <w:rPr>
          <w:lang w:val="en-GB"/>
        </w:rPr>
        <w:lastRenderedPageBreak/>
        <w:t>Policy for Response</w:t>
      </w:r>
      <w:bookmarkEnd w:id="59"/>
      <w:bookmarkEnd w:id="60"/>
      <w:bookmarkEnd w:id="61"/>
    </w:p>
    <w:p w:rsidR="00CA1321" w:rsidRPr="001F2F9B" w:rsidRDefault="00CA1321" w:rsidP="00CA1321">
      <w:r w:rsidRPr="001F2F9B">
        <w:t>See 1.2.3</w:t>
      </w:r>
    </w:p>
    <w:p w:rsidR="00CA1321" w:rsidRPr="001F2F9B" w:rsidRDefault="00CA1321" w:rsidP="00CA1321"/>
    <w:p w:rsidR="00CA1321" w:rsidRPr="001F2F9B" w:rsidRDefault="00CA1321" w:rsidP="00CA1321">
      <w:pPr>
        <w:pStyle w:val="berschrift3"/>
        <w:ind w:left="1288"/>
        <w:rPr>
          <w:lang w:val="en-GB"/>
        </w:rPr>
      </w:pPr>
      <w:bookmarkStart w:id="62" w:name="_Toc444087619"/>
      <w:bookmarkStart w:id="63" w:name="_Toc444176192"/>
      <w:bookmarkStart w:id="64" w:name="_Toc445378515"/>
      <w:r w:rsidRPr="001F2F9B">
        <w:rPr>
          <w:lang w:val="en-GB"/>
        </w:rPr>
        <w:t>Policy for Relief and Recovery</w:t>
      </w:r>
      <w:bookmarkEnd w:id="62"/>
      <w:bookmarkEnd w:id="63"/>
      <w:bookmarkEnd w:id="64"/>
    </w:p>
    <w:p w:rsidR="00CA1321" w:rsidRPr="001F2F9B" w:rsidRDefault="00CA1321" w:rsidP="00CA1321">
      <w:r w:rsidRPr="001F2F9B">
        <w:t>See 1.2.3</w:t>
      </w:r>
    </w:p>
    <w:p w:rsidR="00CA1321" w:rsidRPr="001F2F9B" w:rsidRDefault="00CA1321" w:rsidP="00CA1321">
      <w:pPr>
        <w:tabs>
          <w:tab w:val="left" w:pos="4536"/>
        </w:tabs>
        <w:ind w:left="360"/>
      </w:pPr>
    </w:p>
    <w:p w:rsidR="00CA1321" w:rsidRPr="001F2F9B" w:rsidRDefault="00CA1321" w:rsidP="00CA1321">
      <w:pPr>
        <w:tabs>
          <w:tab w:val="left" w:pos="4536"/>
        </w:tabs>
        <w:ind w:left="360"/>
      </w:pPr>
    </w:p>
    <w:p w:rsidR="00CA1321" w:rsidRPr="001F2F9B" w:rsidRDefault="00CA1321" w:rsidP="00CA1321">
      <w:pPr>
        <w:pStyle w:val="berschrift2"/>
        <w:ind w:left="576" w:hanging="576"/>
        <w:rPr>
          <w:lang w:val="en-GB"/>
        </w:rPr>
      </w:pPr>
      <w:bookmarkStart w:id="65" w:name="_Toc444087620"/>
      <w:bookmarkStart w:id="66" w:name="_Toc444176193"/>
      <w:bookmarkStart w:id="67" w:name="_Toc445378516"/>
      <w:r w:rsidRPr="001F2F9B">
        <w:rPr>
          <w:lang w:val="en-GB"/>
        </w:rPr>
        <w:t>Financing</w:t>
      </w:r>
      <w:bookmarkEnd w:id="65"/>
      <w:bookmarkEnd w:id="66"/>
      <w:bookmarkEnd w:id="67"/>
      <w:r w:rsidRPr="001F2F9B">
        <w:rPr>
          <w:lang w:val="en-GB"/>
        </w:rPr>
        <w:t xml:space="preserve"> </w:t>
      </w:r>
    </w:p>
    <w:p w:rsidR="00CA1321" w:rsidRPr="001F2F9B" w:rsidRDefault="00CA1321" w:rsidP="00CA1321">
      <w:pPr>
        <w:pStyle w:val="berschrift3"/>
        <w:ind w:left="1288"/>
        <w:rPr>
          <w:lang w:val="en-GB"/>
        </w:rPr>
      </w:pPr>
      <w:bookmarkStart w:id="68" w:name="_Toc444087621"/>
      <w:bookmarkStart w:id="69" w:name="_Toc444176194"/>
      <w:bookmarkStart w:id="70" w:name="_Toc445378517"/>
      <w:r w:rsidRPr="001F2F9B">
        <w:rPr>
          <w:lang w:val="en-GB"/>
        </w:rPr>
        <w:t>Investing in preparedness</w:t>
      </w:r>
      <w:bookmarkEnd w:id="68"/>
      <w:bookmarkEnd w:id="69"/>
      <w:bookmarkEnd w:id="70"/>
      <w:r w:rsidRPr="001F2F9B">
        <w:rPr>
          <w:lang w:val="en-GB"/>
        </w:rPr>
        <w:t xml:space="preserve"> </w:t>
      </w:r>
    </w:p>
    <w:p w:rsidR="00CA1321" w:rsidRPr="001F2F9B" w:rsidRDefault="00CA1321" w:rsidP="00CA1321">
      <w:r w:rsidRPr="001F2F9B">
        <w:t>Disaster risk reduction resources according to the 2014 Peer Review Report on the Implementation of the HFA:</w:t>
      </w:r>
    </w:p>
    <w:p w:rsidR="00CA1321" w:rsidRPr="001F2F9B" w:rsidRDefault="00CA1321" w:rsidP="00CA1321">
      <w:pPr>
        <w:pStyle w:val="longerquotation"/>
        <w:rPr>
          <w:lang w:val="en-GB"/>
        </w:rPr>
      </w:pPr>
      <w:r w:rsidRPr="001F2F9B">
        <w:rPr>
          <w:lang w:val="en-GB"/>
        </w:rPr>
        <w:t xml:space="preserve">Funding for risk management comes from different sources such as Government budget, municipalities’ budget and specific financial mechanisms. As in most other European and OECD countries, Finland has not made a comprehensive estimation of the resources spent on disaster risk reduction from the national to the local level. </w:t>
      </w:r>
    </w:p>
    <w:p w:rsidR="00CA1321" w:rsidRPr="001F2F9B" w:rsidRDefault="00CA1321" w:rsidP="00CA1321">
      <w:pPr>
        <w:pStyle w:val="longerquotation"/>
        <w:rPr>
          <w:lang w:val="en-GB"/>
        </w:rPr>
      </w:pPr>
      <w:r w:rsidRPr="001F2F9B">
        <w:rPr>
          <w:lang w:val="en-GB"/>
        </w:rPr>
        <w:t xml:space="preserve">At the national level, resources for risk management are in fact embedded in the general budget of each responsible ministerial department, as well as for technical agencies. The specific funding mechanism of the National Emergency Supply Agency (NESA), financed by consumption through VAT, secures its large budget. It is aimed at guaranteeing the availability of all forms of supplies to ensure business continuity in all sectors. Citizens also contribute through the fire tax, which adds to the fire prevention fund (€9 million per year). </w:t>
      </w:r>
    </w:p>
    <w:p w:rsidR="00CA1321" w:rsidRPr="001F2F9B" w:rsidRDefault="00CA1321" w:rsidP="00CA1321">
      <w:r w:rsidRPr="001F2F9B">
        <w:t>(The Fire Protection Fund, managed and supervised by the Ministry of the Interior, is a fund outside the State Budget. Every year, the Fund grants nearly EUR 10 million for projects that are designed to improve fire prevention and rescue operations. This assistance has focused on training and education provided by rescue service organisations, research and development projects supporting the work in the field, procurement of equipment and building of fire stations.)</w:t>
      </w:r>
      <w:r w:rsidRPr="001F2F9B">
        <w:rPr>
          <w:rStyle w:val="Funotenzeichen"/>
        </w:rPr>
        <w:footnoteReference w:id="33"/>
      </w:r>
    </w:p>
    <w:p w:rsidR="00CA1321" w:rsidRPr="001F2F9B" w:rsidRDefault="00CA1321" w:rsidP="00CA1321">
      <w:pPr>
        <w:pStyle w:val="longerquotation"/>
        <w:rPr>
          <w:lang w:val="en-GB"/>
        </w:rPr>
      </w:pPr>
      <w:r w:rsidRPr="001F2F9B">
        <w:rPr>
          <w:lang w:val="en-GB"/>
        </w:rPr>
        <w:t xml:space="preserve">Developers contribute by financing shelters in all new buildings (€39 million per year). Overall, resources from the national budget appear to have covered well the funding needs to ensure the proper implementation of national strategies in risk management, as in other areas of public policy. </w:t>
      </w:r>
    </w:p>
    <w:p w:rsidR="00CA1321" w:rsidRPr="001F2F9B" w:rsidRDefault="00CA1321" w:rsidP="00CA1321">
      <w:pPr>
        <w:pStyle w:val="longerquotation"/>
        <w:rPr>
          <w:lang w:val="en-GB"/>
        </w:rPr>
      </w:pPr>
      <w:r w:rsidRPr="001F2F9B">
        <w:rPr>
          <w:lang w:val="en-GB"/>
        </w:rPr>
        <w:t xml:space="preserve">As further fiscal consolidation may be needed in the medium term to tackle new economic challenges, Finland may face competing demands for public funding in the future, requiring risk management activities to demonstrate further their cost-effectiveness. </w:t>
      </w:r>
    </w:p>
    <w:p w:rsidR="00CA1321" w:rsidRPr="001F2F9B" w:rsidRDefault="00CA1321" w:rsidP="00CA1321">
      <w:pPr>
        <w:pStyle w:val="longerquotation"/>
        <w:rPr>
          <w:lang w:val="en-GB"/>
        </w:rPr>
      </w:pPr>
      <w:r w:rsidRPr="001F2F9B">
        <w:rPr>
          <w:lang w:val="en-GB"/>
        </w:rPr>
        <w:lastRenderedPageBreak/>
        <w:t>This contraction in resources is particularly important at the local level. Municipalities are the principal contributors to the budgets of regional rescue services, estimated at a total of €385 million. They have a strong independence from central government to decide their budget allocations, with 50 per cent of their budgets coming from local taxation. In the current context, where many municipalities are facing budgetary difficulties, ensuring that rescue services have the same level of preparedness at the local level could become more challenging, especially when it comes to persuading politicians to make it a priority given the country’s low risk profile. The on-going reforms of local government, which propose incentives to merge municipalities, as well as those of the social and healthcare system and of the rescue services, are forward looking initiatives aimed at addressing this budgetary challenge for risk management. Plans to reduce the number of rescue regions were considered as part of this process, but were not agreed upon because of the political, social and economic costs involved in such reform.</w:t>
      </w:r>
    </w:p>
    <w:p w:rsidR="00CA1321" w:rsidRPr="001F2F9B" w:rsidRDefault="00CA1321" w:rsidP="00CA1321"/>
    <w:p w:rsidR="00CA1321" w:rsidRPr="001F2F9B" w:rsidRDefault="00CA1321" w:rsidP="00CA1321">
      <w:pPr>
        <w:pStyle w:val="berschrift3"/>
        <w:ind w:left="1288"/>
        <w:rPr>
          <w:lang w:val="en-GB"/>
        </w:rPr>
      </w:pPr>
      <w:bookmarkStart w:id="71" w:name="_Toc444087622"/>
      <w:bookmarkStart w:id="72" w:name="_Toc444176195"/>
      <w:bookmarkStart w:id="73" w:name="_Toc445378518"/>
      <w:r w:rsidRPr="001F2F9B">
        <w:rPr>
          <w:lang w:val="en-GB"/>
        </w:rPr>
        <w:t>Investing in consequence management</w:t>
      </w:r>
      <w:bookmarkEnd w:id="71"/>
      <w:bookmarkEnd w:id="72"/>
      <w:bookmarkEnd w:id="73"/>
    </w:p>
    <w:p w:rsidR="00CA1321" w:rsidRPr="001F2F9B" w:rsidRDefault="00CA1321" w:rsidP="00CA1321">
      <w:r w:rsidRPr="001F2F9B">
        <w:t>Finland’s Peer Review Report 2014 on “Financial reserves and contingency mechanisms” regarding consequence management (p.25)</w:t>
      </w:r>
      <w:r w:rsidRPr="001F2F9B">
        <w:rPr>
          <w:rStyle w:val="UntertitelZchn"/>
        </w:rPr>
        <w:t>:</w:t>
      </w:r>
    </w:p>
    <w:p w:rsidR="00CA1321" w:rsidRPr="001F2F9B" w:rsidRDefault="00CA1321" w:rsidP="00CA1321">
      <w:pPr>
        <w:pStyle w:val="longerquotation"/>
        <w:rPr>
          <w:lang w:val="en-GB"/>
        </w:rPr>
      </w:pPr>
      <w:r w:rsidRPr="001F2F9B">
        <w:rPr>
          <w:lang w:val="en-GB"/>
        </w:rPr>
        <w:t xml:space="preserve">Several public financial instruments and contingency mechanisms are available in Finland in case of disasters. They are currently facing significant evolutions with the on-going structural reforms in the country. </w:t>
      </w:r>
    </w:p>
    <w:p w:rsidR="00CA1321" w:rsidRPr="001F2F9B" w:rsidRDefault="00CA1321" w:rsidP="00CA1321">
      <w:pPr>
        <w:pStyle w:val="longerquotation"/>
        <w:rPr>
          <w:lang w:val="en-GB"/>
        </w:rPr>
      </w:pPr>
      <w:r w:rsidRPr="001F2F9B">
        <w:rPr>
          <w:lang w:val="en-GB"/>
        </w:rPr>
        <w:t xml:space="preserve">The </w:t>
      </w:r>
      <w:r w:rsidRPr="001F2F9B">
        <w:rPr>
          <w:rStyle w:val="IntensiveHervorhebung"/>
          <w:lang w:val="en-GB"/>
        </w:rPr>
        <w:t>national Recovery Fund</w:t>
      </w:r>
      <w:r w:rsidRPr="001F2F9B">
        <w:rPr>
          <w:lang w:val="en-GB"/>
        </w:rPr>
        <w:t xml:space="preserve">, managed by the Ministry of Finance, can support municipalities in case damages to public infrastructure exceed their own budgets. The Ministry of the Environment also manages the </w:t>
      </w:r>
      <w:r w:rsidRPr="001F2F9B">
        <w:rPr>
          <w:rStyle w:val="IntensiveHervorhebung"/>
          <w:lang w:val="en-GB"/>
        </w:rPr>
        <w:t>Finnish Oil Pollution Compensation Fund</w:t>
      </w:r>
      <w:r w:rsidRPr="001F2F9B">
        <w:rPr>
          <w:rStyle w:val="Funotenzeichen"/>
          <w:b/>
          <w:bCs/>
          <w:i w:val="0"/>
          <w:iCs w:val="0"/>
          <w:lang w:val="en-GB"/>
        </w:rPr>
        <w:footnoteReference w:id="34"/>
      </w:r>
      <w:r w:rsidRPr="001F2F9B">
        <w:rPr>
          <w:lang w:val="en-GB"/>
        </w:rPr>
        <w:t xml:space="preserve">, which is available to compensate damages caused by oil spills and associated emergency and de-pollution costs when the cause of the incident is unknown or the culpable party is unable to pay the compensation in question. The compensation granted from the fund must be repaid by the party that caused the oil spill, or by another responsible party. </w:t>
      </w:r>
    </w:p>
    <w:p w:rsidR="00CA1321" w:rsidRPr="001F2F9B" w:rsidRDefault="00CA1321" w:rsidP="00CA1321">
      <w:pPr>
        <w:pStyle w:val="longerquotation"/>
        <w:rPr>
          <w:lang w:val="en-GB"/>
        </w:rPr>
      </w:pPr>
      <w:r w:rsidRPr="001F2F9B">
        <w:rPr>
          <w:rStyle w:val="IntensiveHervorhebung"/>
          <w:lang w:val="en-GB"/>
        </w:rPr>
        <w:t>The State</w:t>
      </w:r>
      <w:r w:rsidRPr="001F2F9B">
        <w:rPr>
          <w:lang w:val="en-GB"/>
        </w:rPr>
        <w:t xml:space="preserve"> may also contribute to maintaining preparedness for emergency health care and major accidents by providing state funding towards contingency activities where special reasons make this expedient. The Red Cross also manages a </w:t>
      </w:r>
      <w:r w:rsidRPr="001F2F9B">
        <w:rPr>
          <w:rStyle w:val="IntensiveHervorhebung"/>
          <w:lang w:val="en-GB"/>
        </w:rPr>
        <w:t>Disaster Relief Fund</w:t>
      </w:r>
      <w:r w:rsidRPr="001F2F9B">
        <w:rPr>
          <w:lang w:val="en-GB"/>
        </w:rPr>
        <w:t xml:space="preserve"> with non-earmarked funding. </w:t>
      </w:r>
    </w:p>
    <w:p w:rsidR="00CA1321" w:rsidRPr="001F2F9B" w:rsidRDefault="00CA1321" w:rsidP="00CA1321">
      <w:pPr>
        <w:pStyle w:val="longerquotation"/>
        <w:rPr>
          <w:lang w:val="en-GB"/>
        </w:rPr>
      </w:pPr>
      <w:r w:rsidRPr="001F2F9B">
        <w:rPr>
          <w:lang w:val="en-GB"/>
        </w:rPr>
        <w:t xml:space="preserve">The major evolution in the public compensation approach relates to </w:t>
      </w:r>
      <w:r w:rsidRPr="001F2F9B">
        <w:rPr>
          <w:rStyle w:val="Hervorhebung"/>
          <w:lang w:val="en-GB"/>
        </w:rPr>
        <w:t>flood disasters</w:t>
      </w:r>
      <w:r w:rsidRPr="001F2F9B">
        <w:rPr>
          <w:lang w:val="en-GB"/>
        </w:rPr>
        <w:t xml:space="preserve">: due to budget restraints, the system for flood damages compensation through governmental funds was replaced in 2014 by a </w:t>
      </w:r>
      <w:r w:rsidRPr="001F2F9B">
        <w:rPr>
          <w:rStyle w:val="Hervorhebung"/>
          <w:lang w:val="en-GB"/>
        </w:rPr>
        <w:t>new private-insurance-based system</w:t>
      </w:r>
      <w:r w:rsidRPr="001F2F9B">
        <w:rPr>
          <w:lang w:val="en-GB"/>
        </w:rPr>
        <w:t xml:space="preserve">. Under the new scheme, private insurance companies will provide damage compensation for all types of floods, including urban pluvial floods. </w:t>
      </w:r>
    </w:p>
    <w:p w:rsidR="00CA1321" w:rsidRPr="001F2F9B" w:rsidRDefault="00CA1321" w:rsidP="00CA1321">
      <w:pPr>
        <w:pStyle w:val="longerquotation"/>
        <w:rPr>
          <w:lang w:val="en-GB"/>
        </w:rPr>
      </w:pPr>
      <w:r w:rsidRPr="001F2F9B">
        <w:rPr>
          <w:lang w:val="en-GB"/>
        </w:rPr>
        <w:t xml:space="preserve">However, this will apply only to floods above a pre-defined threshold, defined with the regulating authorities. Flood insurance is now included in a package with home insurance, with no increase to insurance premiums (at the start of policies, at least). After a few years, it is expected that </w:t>
      </w:r>
      <w:r w:rsidRPr="001F2F9B">
        <w:rPr>
          <w:lang w:val="en-GB"/>
        </w:rPr>
        <w:lastRenderedPageBreak/>
        <w:t>premiums will be recalculated to eventually reflect the risk level. Ministry of Finance statistics show that domestic premiums amount so far to a total of €4.1 billion. However, according to SYKE’s analysis the scale of the economic impact of flooding is rather limited, with maximum damages in even high-risk areas estimated at only around €10 million – compared with the €100 million damages caused by the 2011 winter storms. Insurance companies will use the flood-risk maps prepared during implementation of the EU Floods Directive. In the future, time and experience from incidents will provide the best indication of how this policy change will impact and be perceived by Finnish citizens and businesses.</w:t>
      </w:r>
    </w:p>
    <w:p w:rsidR="00CA1321" w:rsidRPr="001F2F9B" w:rsidRDefault="00CA1321" w:rsidP="00CA1321">
      <w:pPr>
        <w:tabs>
          <w:tab w:val="left" w:pos="4536"/>
        </w:tabs>
      </w:pPr>
      <w:r w:rsidRPr="001F2F9B">
        <w:t xml:space="preserve">Assistance from the </w:t>
      </w:r>
      <w:r w:rsidRPr="001F2F9B">
        <w:rPr>
          <w:rStyle w:val="IntensiveHervorhebung"/>
        </w:rPr>
        <w:t>EU Solidarity Fund</w:t>
      </w:r>
      <w:r w:rsidRPr="001F2F9B">
        <w:t xml:space="preserve"> may of course be requested in cases of major disasters, but since to be eligible for funding, the total direct damage caused by the disaster must exceed 3 billion euros or 0.6% of the country’s gross national income, Finland hasn’t make use of it so far.</w:t>
      </w:r>
    </w:p>
    <w:p w:rsidR="00CA1321" w:rsidRPr="001F2F9B" w:rsidRDefault="00CA1321" w:rsidP="00CA1321">
      <w:pPr>
        <w:tabs>
          <w:tab w:val="left" w:pos="4536"/>
        </w:tabs>
      </w:pPr>
    </w:p>
    <w:p w:rsidR="00CA1321" w:rsidRPr="001F2F9B" w:rsidRDefault="00CA1321" w:rsidP="00CA1321">
      <w:pPr>
        <w:pStyle w:val="berschrift2"/>
        <w:ind w:left="576" w:hanging="576"/>
        <w:rPr>
          <w:rFonts w:cs="Times New Roman"/>
          <w:lang w:val="en-GB"/>
        </w:rPr>
      </w:pPr>
      <w:bookmarkStart w:id="74" w:name="_Toc444087623"/>
      <w:bookmarkStart w:id="75" w:name="_Toc444176196"/>
      <w:bookmarkStart w:id="76" w:name="_Toc445378519"/>
      <w:r w:rsidRPr="001F2F9B">
        <w:rPr>
          <w:lang w:val="en-GB"/>
        </w:rPr>
        <w:t>Policy review, Evaluation &amp;Organisational Learning</w:t>
      </w:r>
      <w:bookmarkEnd w:id="74"/>
      <w:bookmarkEnd w:id="75"/>
      <w:bookmarkEnd w:id="76"/>
    </w:p>
    <w:p w:rsidR="00CA1321" w:rsidRPr="001F2F9B" w:rsidRDefault="00CA1321" w:rsidP="00CA1321">
      <w:pPr>
        <w:pStyle w:val="berschrift3"/>
        <w:ind w:left="1288"/>
        <w:rPr>
          <w:lang w:val="en-GB"/>
        </w:rPr>
      </w:pPr>
      <w:bookmarkStart w:id="77" w:name="_Toc444087624"/>
      <w:bookmarkStart w:id="78" w:name="_Toc444176197"/>
      <w:bookmarkStart w:id="79" w:name="_Toc445378520"/>
      <w:r w:rsidRPr="001F2F9B">
        <w:rPr>
          <w:lang w:val="en-GB"/>
        </w:rPr>
        <w:t>Post-Disaster Assessment</w:t>
      </w:r>
      <w:bookmarkEnd w:id="77"/>
      <w:bookmarkEnd w:id="78"/>
      <w:bookmarkEnd w:id="79"/>
    </w:p>
    <w:p w:rsidR="00CA1321" w:rsidRPr="001F2F9B" w:rsidRDefault="00CA1321" w:rsidP="00CA1321">
      <w:r w:rsidRPr="001F2F9B">
        <w:t>As mentioned before, Finland has not experienced major disasters in its recent history, and thus no concrete examples of, or dedicated policies for, recovery and reconstruction have been developed that specifically include risk reduction measures. Nevertheless, the drive to strengthen the resilience of critical infrastructure is constant, also stressed by the objectives of the Security Strategy for Society. As an example, measures are taken to secure the power networks and reduce the risk of power failures in the repair and rebuilding of local electricity networks that has been damaged due to wind or snow storms</w:t>
      </w:r>
      <w:r w:rsidRPr="001F2F9B">
        <w:rPr>
          <w:rStyle w:val="Funotenzeichen"/>
        </w:rPr>
        <w:footnoteReference w:id="35"/>
      </w:r>
      <w:r w:rsidRPr="001F2F9B">
        <w:t>.</w:t>
      </w:r>
    </w:p>
    <w:p w:rsidR="00CA1321" w:rsidRPr="001F2F9B" w:rsidRDefault="00CA1321" w:rsidP="00CA1321"/>
    <w:p w:rsidR="00CA1321" w:rsidRPr="001F2F9B" w:rsidRDefault="00CA1321" w:rsidP="00CA1321">
      <w:pPr>
        <w:pStyle w:val="berschrift3"/>
        <w:ind w:left="1288"/>
        <w:rPr>
          <w:rFonts w:cs="Times New Roman"/>
          <w:lang w:val="en-GB"/>
        </w:rPr>
      </w:pPr>
      <w:bookmarkStart w:id="80" w:name="_Toc444087625"/>
      <w:bookmarkStart w:id="81" w:name="_Toc444176198"/>
      <w:bookmarkStart w:id="82" w:name="_Toc445378521"/>
      <w:r w:rsidRPr="001F2F9B">
        <w:rPr>
          <w:lang w:val="en-GB"/>
        </w:rPr>
        <w:t>Departmental Lessons Learned systems</w:t>
      </w:r>
      <w:bookmarkEnd w:id="80"/>
      <w:bookmarkEnd w:id="81"/>
      <w:bookmarkEnd w:id="82"/>
    </w:p>
    <w:p w:rsidR="00CA1321" w:rsidRPr="001F2F9B" w:rsidRDefault="00CA1321" w:rsidP="00CA1321">
      <w:r w:rsidRPr="001F2F9B">
        <w:t>Each “competent authority” at all levels is responsible for recording and analysing all management measures that have been taken when disturbances occur in Finland or abroad, as requested by the Security Strategy for Society. (see also 1.4.5)</w:t>
      </w:r>
    </w:p>
    <w:p w:rsidR="00CA1321" w:rsidRPr="001F2F9B" w:rsidRDefault="00CA1321" w:rsidP="00CA1321">
      <w:r w:rsidRPr="001F2F9B">
        <w:t>Furthermore, as stated e.g. in Finland’s Cyber Security Strategy</w:t>
      </w:r>
      <w:r w:rsidRPr="001F2F9B">
        <w:rPr>
          <w:rStyle w:val="Funotenzeichen"/>
        </w:rPr>
        <w:footnoteReference w:id="36"/>
      </w:r>
      <w:r w:rsidRPr="001F2F9B">
        <w:t xml:space="preserve">, </w:t>
      </w:r>
    </w:p>
    <w:p w:rsidR="00CA1321" w:rsidRPr="001F2F9B" w:rsidRDefault="00CA1321" w:rsidP="00CA1321">
      <w:pPr>
        <w:rPr>
          <w:rStyle w:val="longerquotationZchn"/>
          <w:lang w:val="en-GB"/>
        </w:rPr>
      </w:pPr>
      <w:r w:rsidRPr="001F2F9B">
        <w:rPr>
          <w:rStyle w:val="longerquotationZchn"/>
          <w:lang w:val="en-GB"/>
        </w:rPr>
        <w:t>different sectors’ preparedness in securing the vital functions in disturbed conditions will be improved by organising regular exercises. Each actor will develop its national and international participation in exercises. The actors will improve the utilisation of best practices and lessons-learned accrued through international exercises by improving the exchange of information and mutual coordination. The goal of exercises is to enhance the participants’ chances of exposing the vulnerabilities of their own actions and systems, in developing their capabilities and training their personnel.</w:t>
      </w:r>
    </w:p>
    <w:p w:rsidR="00CA1321" w:rsidRPr="001F2F9B" w:rsidRDefault="00CA1321" w:rsidP="00CA1321">
      <w:r w:rsidRPr="001F2F9B">
        <w:t>Since this is also in general requested by the Security Strategy for Society, it is applicable to all “competent authorities” at all levels.</w:t>
      </w:r>
    </w:p>
    <w:p w:rsidR="00CA1321" w:rsidRPr="001F2F9B" w:rsidRDefault="00CA1321" w:rsidP="00CA1321"/>
    <w:p w:rsidR="00CA1321" w:rsidRPr="001F2F9B" w:rsidRDefault="00CA1321" w:rsidP="00CA1321">
      <w:pPr>
        <w:pStyle w:val="berschrift3"/>
        <w:ind w:left="1288"/>
        <w:rPr>
          <w:lang w:val="en-GB"/>
        </w:rPr>
      </w:pPr>
      <w:bookmarkStart w:id="83" w:name="_Toc444087626"/>
      <w:bookmarkStart w:id="84" w:name="_Toc444176199"/>
      <w:bookmarkStart w:id="85" w:name="_Toc445378522"/>
      <w:r w:rsidRPr="001F2F9B">
        <w:rPr>
          <w:lang w:val="en-GB"/>
        </w:rPr>
        <w:lastRenderedPageBreak/>
        <w:t>Centralised (national) Lessons Learned system</w:t>
      </w:r>
      <w:bookmarkEnd w:id="83"/>
      <w:bookmarkEnd w:id="84"/>
      <w:bookmarkEnd w:id="85"/>
    </w:p>
    <w:p w:rsidR="00CA1321" w:rsidRPr="001F2F9B" w:rsidRDefault="00CA1321" w:rsidP="00CA1321">
      <w:r w:rsidRPr="001F2F9B">
        <w:t xml:space="preserve">In addition to organisations internal lessons learned processes, there is also a lot of exchange on inter-agency or inter-sectoral level at national as well as on international level. Moreover, at national level, </w:t>
      </w:r>
    </w:p>
    <w:p w:rsidR="00CA1321" w:rsidRPr="001F2F9B" w:rsidRDefault="00CA1321" w:rsidP="00CA1321">
      <w:pPr>
        <w:pStyle w:val="longerquotation"/>
        <w:rPr>
          <w:lang w:val="en-GB"/>
        </w:rPr>
      </w:pPr>
      <w:r w:rsidRPr="001F2F9B">
        <w:rPr>
          <w:lang w:val="en-GB"/>
        </w:rPr>
        <w:t xml:space="preserve">the </w:t>
      </w:r>
      <w:r w:rsidRPr="001F2F9B">
        <w:rPr>
          <w:b/>
          <w:lang w:val="en-GB"/>
        </w:rPr>
        <w:t>Finnish accident data-base</w:t>
      </w:r>
      <w:r w:rsidRPr="001F2F9B">
        <w:rPr>
          <w:lang w:val="en-GB"/>
        </w:rPr>
        <w:t xml:space="preserve"> provides a good basis for post-event reviews as it records all interventions and actions which are taken in responding to an emergency or disaster. The </w:t>
      </w:r>
      <w:r w:rsidRPr="001F2F9B">
        <w:rPr>
          <w:b/>
          <w:lang w:val="en-GB"/>
        </w:rPr>
        <w:t xml:space="preserve">Safety Investigation Authority </w:t>
      </w:r>
      <w:r w:rsidRPr="001F2F9B">
        <w:rPr>
          <w:lang w:val="en-GB"/>
        </w:rPr>
        <w:t xml:space="preserve">of Finland, previously known as the Accident Investigation Board, investigates all major accidents, regardless of their nature. Investigation reports are prepared for each case and include recommendations for improving systems and processes. ‘Lessons learnt’ exercises were conducted following the 2010 storms, which led to improving pre-warning processes − especially of citizens − and emergency preparedness. </w:t>
      </w:r>
    </w:p>
    <w:p w:rsidR="00CA1321" w:rsidRPr="001F2F9B" w:rsidRDefault="00CA1321" w:rsidP="00CA1321">
      <w:pPr>
        <w:pStyle w:val="longerquotation"/>
        <w:rPr>
          <w:lang w:val="en-GB"/>
        </w:rPr>
      </w:pPr>
      <w:r w:rsidRPr="001F2F9B">
        <w:rPr>
          <w:lang w:val="en-GB"/>
        </w:rPr>
        <w:t>In the past, lessons have also been drawn from international disasters such as the 2004 tsunami. This has helped improve inter-agency coordination and joint operation capacity for response outside Finnish borders.</w:t>
      </w:r>
      <w:r w:rsidRPr="001F2F9B">
        <w:rPr>
          <w:rStyle w:val="Funotenzeichen"/>
          <w:lang w:val="en-GB"/>
        </w:rPr>
        <w:footnoteReference w:id="37"/>
      </w:r>
    </w:p>
    <w:p w:rsidR="00CA1321" w:rsidRPr="001F2F9B" w:rsidRDefault="00CA1321" w:rsidP="00CA1321"/>
    <w:p w:rsidR="00CA1321" w:rsidRPr="001F2F9B" w:rsidRDefault="00CA1321" w:rsidP="00CA1321">
      <w:pPr>
        <w:pStyle w:val="berschrift3"/>
        <w:ind w:left="1288"/>
        <w:rPr>
          <w:rFonts w:cs="Times New Roman"/>
          <w:lang w:val="en-GB"/>
        </w:rPr>
      </w:pPr>
      <w:bookmarkStart w:id="86" w:name="_Toc444087627"/>
      <w:bookmarkStart w:id="87" w:name="_Toc444176200"/>
      <w:bookmarkStart w:id="88" w:name="_Toc445378523"/>
      <w:r w:rsidRPr="001F2F9B">
        <w:rPr>
          <w:lang w:val="en-GB"/>
        </w:rPr>
        <w:t>International exchange for Lessons Learned</w:t>
      </w:r>
      <w:bookmarkEnd w:id="86"/>
      <w:bookmarkEnd w:id="87"/>
      <w:bookmarkEnd w:id="88"/>
      <w:r w:rsidRPr="001F2F9B">
        <w:rPr>
          <w:lang w:val="en-GB"/>
        </w:rPr>
        <w:t xml:space="preserve"> </w:t>
      </w:r>
    </w:p>
    <w:p w:rsidR="00CA1321" w:rsidRPr="001F2F9B" w:rsidRDefault="00CA1321" w:rsidP="00CA1321">
      <w:r w:rsidRPr="001F2F9B">
        <w:t>International exchange of information as well as common exercises with regard to disaster preparedness and response are fostered by the Security Strategy for Society, as stated under 1.4.2.</w:t>
      </w:r>
    </w:p>
    <w:p w:rsidR="00CA1321" w:rsidRPr="001F2F9B" w:rsidRDefault="00CA1321" w:rsidP="00CA1321">
      <w:r w:rsidRPr="001F2F9B">
        <w:t xml:space="preserve">Finland actively participates, especially, in the work of the EU and NATO, which also leads, inter alia, to the improvement of the national evaluation processes. </w:t>
      </w:r>
    </w:p>
    <w:p w:rsidR="00CA1321" w:rsidRPr="001F2F9B" w:rsidRDefault="00CA1321" w:rsidP="00CA1321">
      <w:r w:rsidRPr="001F2F9B">
        <w:t xml:space="preserve">In addition, there is a close cooperation with neighboring countries in terms of CM, correlated with several bi- and multilateral agreements, Finland as a nation is part of as well as single authorities. Even on municipality-level, cross-border agreements exist (for international cooperation, see 3.2). </w:t>
      </w:r>
    </w:p>
    <w:p w:rsidR="00CA1321" w:rsidRPr="001F2F9B" w:rsidRDefault="00CA1321" w:rsidP="00CA1321">
      <w:r w:rsidRPr="001F2F9B">
        <w:t xml:space="preserve"> </w:t>
      </w:r>
    </w:p>
    <w:p w:rsidR="00CA1321" w:rsidRPr="001F2F9B" w:rsidRDefault="00CA1321" w:rsidP="00CA1321">
      <w:pPr>
        <w:pStyle w:val="berschrift3"/>
        <w:ind w:left="1288"/>
        <w:rPr>
          <w:lang w:val="en-GB"/>
        </w:rPr>
      </w:pPr>
      <w:bookmarkStart w:id="89" w:name="_Toc444087628"/>
      <w:bookmarkStart w:id="90" w:name="_Toc444176201"/>
      <w:bookmarkStart w:id="91" w:name="_Toc445378524"/>
      <w:r w:rsidRPr="001F2F9B">
        <w:rPr>
          <w:lang w:val="en-GB"/>
        </w:rPr>
        <w:t>Regular policy reviews</w:t>
      </w:r>
      <w:bookmarkEnd w:id="89"/>
      <w:bookmarkEnd w:id="90"/>
      <w:bookmarkEnd w:id="91"/>
      <w:r w:rsidRPr="001F2F9B">
        <w:rPr>
          <w:lang w:val="en-GB"/>
        </w:rPr>
        <w:t xml:space="preserve"> </w:t>
      </w:r>
    </w:p>
    <w:p w:rsidR="00CA1321" w:rsidRPr="001F2F9B" w:rsidRDefault="00CA1321" w:rsidP="00CA1321">
      <w:r w:rsidRPr="001F2F9B">
        <w:t>Requested by the Security Strategy for Society (2010), the national policy review is conducted by monitoring the implementation of its strategy, which is to be based on at least the following entities:</w:t>
      </w:r>
    </w:p>
    <w:p w:rsidR="00CA1321" w:rsidRPr="001F2F9B" w:rsidRDefault="00CA1321" w:rsidP="004C232D">
      <w:pPr>
        <w:pStyle w:val="Listenabsatz"/>
        <w:numPr>
          <w:ilvl w:val="0"/>
          <w:numId w:val="6"/>
        </w:numPr>
        <w:spacing w:after="120"/>
        <w:contextualSpacing w:val="0"/>
      </w:pPr>
      <w:r w:rsidRPr="001F2F9B">
        <w:t>ministry reports and assessments on how their strategic tasks have been taken into account in the administrative sector’s preparedness and the capabilities to manage a disturbance</w:t>
      </w:r>
    </w:p>
    <w:p w:rsidR="00CA1321" w:rsidRPr="001F2F9B" w:rsidRDefault="00CA1321" w:rsidP="004C232D">
      <w:pPr>
        <w:pStyle w:val="Listenabsatz"/>
        <w:numPr>
          <w:ilvl w:val="0"/>
          <w:numId w:val="6"/>
        </w:numPr>
        <w:spacing w:after="120"/>
        <w:contextualSpacing w:val="0"/>
      </w:pPr>
      <w:r w:rsidRPr="001F2F9B">
        <w:t>compiling and analysing the lessons learned from having managed disturbances</w:t>
      </w:r>
    </w:p>
    <w:p w:rsidR="00CA1321" w:rsidRPr="001F2F9B" w:rsidRDefault="00CA1321" w:rsidP="004C232D">
      <w:pPr>
        <w:pStyle w:val="Listenabsatz"/>
        <w:numPr>
          <w:ilvl w:val="0"/>
          <w:numId w:val="6"/>
        </w:numPr>
        <w:spacing w:after="120"/>
        <w:contextualSpacing w:val="0"/>
      </w:pPr>
      <w:r w:rsidRPr="001F2F9B">
        <w:t>assessments on the functioning and development needs of the security of supply</w:t>
      </w:r>
    </w:p>
    <w:p w:rsidR="00CA1321" w:rsidRPr="001F2F9B" w:rsidRDefault="00CA1321" w:rsidP="004C232D">
      <w:pPr>
        <w:pStyle w:val="Listenabsatz"/>
        <w:numPr>
          <w:ilvl w:val="0"/>
          <w:numId w:val="6"/>
        </w:numPr>
        <w:spacing w:after="120"/>
        <w:contextualSpacing w:val="0"/>
      </w:pPr>
      <w:r w:rsidRPr="001F2F9B">
        <w:t>arrangements in their administrative sector, and</w:t>
      </w:r>
    </w:p>
    <w:p w:rsidR="00CA1321" w:rsidRPr="001F2F9B" w:rsidRDefault="00CA1321" w:rsidP="004C232D">
      <w:pPr>
        <w:pStyle w:val="Listenabsatz"/>
        <w:numPr>
          <w:ilvl w:val="0"/>
          <w:numId w:val="6"/>
        </w:numPr>
        <w:spacing w:after="120"/>
        <w:contextualSpacing w:val="0"/>
      </w:pPr>
      <w:r w:rsidRPr="001F2F9B">
        <w:t>experiences from the preparedness exercises of administrative sectors, the Government and the authorities nation-wide</w:t>
      </w:r>
    </w:p>
    <w:p w:rsidR="00CA1321" w:rsidRPr="001F2F9B" w:rsidRDefault="00CA1321" w:rsidP="00CA1321">
      <w:r w:rsidRPr="001F2F9B">
        <w:lastRenderedPageBreak/>
        <w:t xml:space="preserve">According to the Security Strategy for Society, </w:t>
      </w:r>
    </w:p>
    <w:p w:rsidR="00CA1321" w:rsidRPr="001F2F9B" w:rsidRDefault="00CA1321" w:rsidP="00CA1321">
      <w:pPr>
        <w:pStyle w:val="longerquotation"/>
        <w:rPr>
          <w:lang w:val="en-GB"/>
        </w:rPr>
      </w:pPr>
      <w:r w:rsidRPr="001F2F9B">
        <w:rPr>
          <w:lang w:val="en-GB"/>
        </w:rPr>
        <w:t>the monitoring of the Strategy’s implementation also produces grounds for security research in administrative sectors and also for national co-operation in the field of security research. National and international security research is conducted and forms of cooperation are developed through the strategy for national security research; the Advisory Board for Sectoral Research is in charge of the strategy’s implementation. Furthermore, the Scientific Advisory Board for Defence (MATINE), the security programme of the Finnish Funding Agency for Technology and Innovation (TEKES), the EU’s framework programme for security research and the technology programmes and excellence networks of the Defence Forces produce research to support the Security Strategy.</w:t>
      </w:r>
    </w:p>
    <w:p w:rsidR="00CA1321" w:rsidRPr="001F2F9B" w:rsidRDefault="00CA1321" w:rsidP="00CA1321">
      <w:r w:rsidRPr="001F2F9B">
        <w:t>On the international level, Finland volunteered, as a second country, after United Kingdom, for the evaluation through a Peer Review Process with regard to the implementation of the Hyogo Framework for Action (HFA) and its related priorities into the national crisis management concept</w:t>
      </w:r>
      <w:r w:rsidRPr="001F2F9B">
        <w:rPr>
          <w:vertAlign w:val="superscript"/>
        </w:rPr>
        <w:footnoteReference w:id="38"/>
      </w:r>
      <w:r w:rsidRPr="001F2F9B">
        <w:t>. As a result, Finland benefits from the feedback of high-level experts from the EU Commission (DG Humanitarian Aid and Civil Protection (ECHO)), the UN office for disaster risk reduction (UNISDR) and the Organisation for Economic Co-operation and Development (OECD).</w:t>
      </w:r>
      <w:r w:rsidRPr="001F2F9B">
        <w:tab/>
      </w:r>
    </w:p>
    <w:p w:rsidR="00CA1321" w:rsidRPr="001F2F9B" w:rsidRDefault="00CA1321" w:rsidP="00CA1321">
      <w:pPr>
        <w:tabs>
          <w:tab w:val="left" w:pos="4536"/>
        </w:tabs>
      </w:pPr>
      <w:r w:rsidRPr="001F2F9B">
        <w:t>Objectives of the Peer Review Process are:</w:t>
      </w:r>
    </w:p>
    <w:p w:rsidR="00CA1321" w:rsidRPr="001F2F9B" w:rsidRDefault="00CA1321" w:rsidP="004C232D">
      <w:pPr>
        <w:pStyle w:val="Listenabsatz"/>
        <w:numPr>
          <w:ilvl w:val="0"/>
          <w:numId w:val="6"/>
        </w:numPr>
        <w:spacing w:after="120"/>
        <w:contextualSpacing w:val="0"/>
      </w:pPr>
      <w:r w:rsidRPr="001F2F9B">
        <w:t>enhance the effective implementation of and reporting on the HFA, contributing to improved policy-making on disaster risk reduction through external assessment and mutual learning;</w:t>
      </w:r>
    </w:p>
    <w:p w:rsidR="00CA1321" w:rsidRPr="001F2F9B" w:rsidRDefault="00CA1321" w:rsidP="004C232D">
      <w:pPr>
        <w:pStyle w:val="Listenabsatz"/>
        <w:numPr>
          <w:ilvl w:val="0"/>
          <w:numId w:val="6"/>
        </w:numPr>
        <w:spacing w:after="120"/>
        <w:contextualSpacing w:val="0"/>
      </w:pPr>
      <w:r w:rsidRPr="001F2F9B">
        <w:t>increase the consistency between the national disaster risk reduction policies and stimulate transferability of good and innovative practices;</w:t>
      </w:r>
    </w:p>
    <w:p w:rsidR="00CA1321" w:rsidRPr="001F2F9B" w:rsidRDefault="00CA1321" w:rsidP="004C232D">
      <w:pPr>
        <w:pStyle w:val="Listenabsatz"/>
        <w:numPr>
          <w:ilvl w:val="0"/>
          <w:numId w:val="6"/>
        </w:numPr>
        <w:spacing w:after="120"/>
        <w:contextualSpacing w:val="0"/>
      </w:pPr>
      <w:r w:rsidRPr="001F2F9B">
        <w:t>contribute to developing and implementing EU policy initiatives in disaster risk management in EU Member States as well as in neighbouring countries;</w:t>
      </w:r>
    </w:p>
    <w:p w:rsidR="00CA1321" w:rsidRPr="001F2F9B" w:rsidRDefault="00CA1321" w:rsidP="004C232D">
      <w:pPr>
        <w:pStyle w:val="Listenabsatz"/>
        <w:numPr>
          <w:ilvl w:val="0"/>
          <w:numId w:val="6"/>
        </w:numPr>
        <w:spacing w:after="120"/>
        <w:contextualSpacing w:val="0"/>
      </w:pPr>
      <w:r w:rsidRPr="001F2F9B">
        <w:t>encourage awareness-raising through broad involvement of stakeholders in the review process and wide dissemination of the results;</w:t>
      </w:r>
    </w:p>
    <w:p w:rsidR="00CA1321" w:rsidRPr="001F2F9B" w:rsidRDefault="00CA1321" w:rsidP="004C232D">
      <w:pPr>
        <w:pStyle w:val="Listenabsatz"/>
        <w:numPr>
          <w:ilvl w:val="0"/>
          <w:numId w:val="6"/>
        </w:numPr>
        <w:spacing w:after="120"/>
        <w:contextualSpacing w:val="0"/>
      </w:pPr>
      <w:r w:rsidRPr="001F2F9B">
        <w:t>foster policy dialogue in Europe and enhance regional cooperation between countries exposed to common hazards and risks</w:t>
      </w:r>
    </w:p>
    <w:p w:rsidR="00CA1321" w:rsidRPr="001F2F9B" w:rsidRDefault="00CA1321" w:rsidP="00CA1321">
      <w:r w:rsidRPr="001F2F9B">
        <w:t>The development in the respective Progress Reports on the Implementation of the Hyogo Framework for Action</w:t>
      </w:r>
      <w:r w:rsidRPr="001F2F9B">
        <w:rPr>
          <w:rStyle w:val="Funotenzeichen"/>
        </w:rPr>
        <w:footnoteReference w:id="39"/>
      </w:r>
      <w:r w:rsidRPr="001F2F9B">
        <w:t xml:space="preserve"> shows that the quite young strategy is still in the implementation phase in all levels and thus provides several examples for the realization of recommendations/implementation of the results of policy and strategy reviews.</w:t>
      </w:r>
    </w:p>
    <w:p w:rsidR="00CA1321" w:rsidRPr="001F2F9B" w:rsidRDefault="00CA1321" w:rsidP="00CA1321"/>
    <w:p w:rsidR="00CA1321" w:rsidRPr="001F2F9B" w:rsidRDefault="00CA1321" w:rsidP="00CA1321">
      <w:pPr>
        <w:pStyle w:val="berschrift2"/>
        <w:ind w:left="576" w:hanging="576"/>
        <w:rPr>
          <w:lang w:val="en-GB"/>
        </w:rPr>
      </w:pPr>
      <w:bookmarkStart w:id="92" w:name="_Toc444087629"/>
      <w:bookmarkStart w:id="93" w:name="_Toc444176202"/>
      <w:bookmarkStart w:id="94" w:name="_Toc445378525"/>
      <w:r w:rsidRPr="001F2F9B">
        <w:rPr>
          <w:lang w:val="en-GB"/>
        </w:rPr>
        <w:t>Resilience</w:t>
      </w:r>
      <w:bookmarkEnd w:id="92"/>
      <w:bookmarkEnd w:id="93"/>
      <w:bookmarkEnd w:id="94"/>
    </w:p>
    <w:p w:rsidR="00CA1321" w:rsidRPr="001F2F9B" w:rsidRDefault="00CA1321" w:rsidP="00CA1321">
      <w:pPr>
        <w:tabs>
          <w:tab w:val="left" w:pos="4536"/>
        </w:tabs>
        <w:rPr>
          <w:highlight w:val="yellow"/>
        </w:rPr>
      </w:pPr>
      <w:r w:rsidRPr="001F2F9B">
        <w:t xml:space="preserve">Since Finland’s policy and strategy approaches in terms of CM have all been renewed or reviewed in recent years, the concept of resilience as understood today by academics or within the European </w:t>
      </w:r>
      <w:r w:rsidRPr="001F2F9B">
        <w:lastRenderedPageBreak/>
        <w:t>Union, is widely implemented. Increasing Europe’s resilience to crises and disasters is one of the five strategic objectives in the 2010 Security Strategy for Society.</w:t>
      </w:r>
    </w:p>
    <w:p w:rsidR="00CA1321" w:rsidRPr="001F2F9B" w:rsidRDefault="00CA1321" w:rsidP="00CA1321">
      <w:pPr>
        <w:tabs>
          <w:tab w:val="left" w:pos="4536"/>
        </w:tabs>
      </w:pPr>
      <w:r w:rsidRPr="001F2F9B">
        <w:t>Even specific aspects of resilience are emphasised in the general policy: strengthening psychological resilience is listed as a separate strategic task in the Security Strategy for Society under the responsibility of the Ministry of Education (see table 3). Psychological resilience to crisis is for instance part of the instructions on crisis communication of the Prime Minister’s Office</w:t>
      </w:r>
      <w:r w:rsidRPr="001F2F9B">
        <w:rPr>
          <w:rStyle w:val="Funotenzeichen"/>
        </w:rPr>
        <w:footnoteReference w:id="40"/>
      </w:r>
      <w:r w:rsidRPr="001F2F9B">
        <w:t>.</w:t>
      </w:r>
    </w:p>
    <w:p w:rsidR="00CA1321" w:rsidRPr="001F2F9B" w:rsidRDefault="00CA1321" w:rsidP="00CA1321">
      <w:pPr>
        <w:tabs>
          <w:tab w:val="left" w:pos="4536"/>
        </w:tabs>
      </w:pPr>
    </w:p>
    <w:p w:rsidR="00CA1321" w:rsidRPr="001F2F9B" w:rsidRDefault="00CA1321" w:rsidP="00CA1321">
      <w:pPr>
        <w:pStyle w:val="berschrift2"/>
        <w:ind w:left="576" w:hanging="576"/>
        <w:rPr>
          <w:rFonts w:cs="Times New Roman"/>
          <w:lang w:val="en-GB"/>
        </w:rPr>
      </w:pPr>
      <w:bookmarkStart w:id="95" w:name="_Toc444087630"/>
      <w:bookmarkStart w:id="96" w:name="_Toc444176203"/>
      <w:bookmarkStart w:id="97" w:name="_Toc445378526"/>
      <w:r w:rsidRPr="001F2F9B">
        <w:rPr>
          <w:lang w:val="en-GB"/>
        </w:rPr>
        <w:t>Information sharing and data protection</w:t>
      </w:r>
      <w:bookmarkEnd w:id="95"/>
      <w:bookmarkEnd w:id="96"/>
      <w:bookmarkEnd w:id="97"/>
    </w:p>
    <w:p w:rsidR="00CA1321" w:rsidRPr="001F2F9B" w:rsidRDefault="00CA1321" w:rsidP="00CA1321">
      <w:pPr>
        <w:pStyle w:val="longerquotation"/>
        <w:rPr>
          <w:lang w:val="en-GB"/>
        </w:rPr>
      </w:pPr>
      <w:r w:rsidRPr="001F2F9B">
        <w:rPr>
          <w:lang w:val="en-GB"/>
        </w:rPr>
        <w:t xml:space="preserve">Data sharing and dissemination is very effective in Finland as it follows an </w:t>
      </w:r>
      <w:r w:rsidRPr="001F2F9B">
        <w:rPr>
          <w:rStyle w:val="Hervorhebung"/>
          <w:lang w:val="en-GB"/>
        </w:rPr>
        <w:t>open-data policy</w:t>
      </w:r>
      <w:r w:rsidRPr="001F2F9B">
        <w:rPr>
          <w:lang w:val="en-GB"/>
        </w:rPr>
        <w:t xml:space="preserve">: all data paid for through public budget can be accessed by Finnish citizens. </w:t>
      </w:r>
    </w:p>
    <w:p w:rsidR="00CA1321" w:rsidRPr="001F2F9B" w:rsidRDefault="00CA1321" w:rsidP="00CA1321">
      <w:pPr>
        <w:pStyle w:val="longerquotation"/>
        <w:rPr>
          <w:lang w:val="en-GB"/>
        </w:rPr>
      </w:pPr>
      <w:r w:rsidRPr="001F2F9B">
        <w:rPr>
          <w:lang w:val="en-GB"/>
        </w:rPr>
        <w:t xml:space="preserve">This means that the Ministry of the Interior, the Emergency Response Centre Administration, the Finnish Meteorological Institute (FMI) and the Finnish Environment Institute (SYKE) − and also other actors − are relevant owners of data, and are open to data sharing. </w:t>
      </w:r>
    </w:p>
    <w:p w:rsidR="00CA1321" w:rsidRPr="001F2F9B" w:rsidRDefault="00CA1321" w:rsidP="00CA1321">
      <w:pPr>
        <w:pStyle w:val="longerquotation"/>
        <w:rPr>
          <w:lang w:val="en-GB"/>
        </w:rPr>
      </w:pPr>
      <w:r w:rsidRPr="001F2F9B">
        <w:rPr>
          <w:lang w:val="en-GB"/>
        </w:rPr>
        <w:t>The Emergency Response Centre Administration, for instance, shares its data on accidents with a number of other organisations, such as FMI or SYKE, and receives data from them free-of-charge. FMI and SYKE will further this policy of data exchange by establishing a joint flood centre. There seem to be no obstacles in the national data-sharing policy which could hamper disaster risk reduction. The energy sector also uses FMI databases on frequencies and impacts of storms. Similarly, cooperation with the insurance sector to share loss data has facilitated the development of flood risk assessment. At the regional level, weather radar data sharing among the Scandinavian countries brings benefits to each of them by improving monitoring at a lower cost</w:t>
      </w:r>
      <w:r w:rsidRPr="001F2F9B">
        <w:rPr>
          <w:rStyle w:val="Funotenzeichen"/>
          <w:lang w:val="en-GB"/>
        </w:rPr>
        <w:footnoteReference w:id="41"/>
      </w:r>
      <w:r w:rsidRPr="001F2F9B">
        <w:rPr>
          <w:lang w:val="en-GB"/>
        </w:rPr>
        <w:t xml:space="preserve">. </w:t>
      </w:r>
    </w:p>
    <w:p w:rsidR="00CA1321" w:rsidRPr="001F2F9B" w:rsidRDefault="00CA1321" w:rsidP="00CA1321">
      <w:r w:rsidRPr="001F2F9B">
        <w:t xml:space="preserve">As a result of high-level contingency planning and the need to secure official data flows and data security, both during peacetime and crises, the </w:t>
      </w:r>
      <w:r w:rsidRPr="001F2F9B">
        <w:rPr>
          <w:rStyle w:val="Hervorhebung"/>
        </w:rPr>
        <w:t>safety network project</w:t>
      </w:r>
      <w:r w:rsidRPr="001F2F9B">
        <w:rPr>
          <w:rStyle w:val="IntensiveHervorhebung"/>
        </w:rPr>
        <w:t xml:space="preserve"> TUVE</w:t>
      </w:r>
      <w:r w:rsidRPr="001F2F9B">
        <w:t xml:space="preserve"> has been set up with the aim to implement a Government Security Network in 2013</w:t>
      </w:r>
      <w:r w:rsidRPr="001F2F9B">
        <w:rPr>
          <w:rStyle w:val="Funotenzeichen"/>
        </w:rPr>
        <w:footnoteReference w:id="42"/>
      </w:r>
      <w:r w:rsidRPr="001F2F9B">
        <w:t>. Upon a government decision in 2011 TUVE’s management, maintenance and development will gradually be transferred after the construction phase to State Security Networks Ltd., the same operator who runs the VIRVE radio network for the rescue authorities (see 4.4).</w:t>
      </w:r>
    </w:p>
    <w:p w:rsidR="00CA1321" w:rsidRPr="001F2F9B" w:rsidRDefault="00CA1321" w:rsidP="00CA1321"/>
    <w:p w:rsidR="00CA1321" w:rsidRPr="001F2F9B" w:rsidRDefault="00CA1321" w:rsidP="00CA1321"/>
    <w:p w:rsidR="00CA1321" w:rsidRPr="001F2F9B" w:rsidRDefault="00CA1321" w:rsidP="00CA1321">
      <w:pPr>
        <w:pStyle w:val="berschrift1"/>
        <w:rPr>
          <w:lang w:val="en-GB"/>
        </w:rPr>
      </w:pPr>
      <w:bookmarkStart w:id="98" w:name="_Toc444087631"/>
      <w:bookmarkStart w:id="99" w:name="_Toc444176204"/>
      <w:bookmarkStart w:id="100" w:name="_Toc445378527"/>
      <w:r w:rsidRPr="001F2F9B">
        <w:rPr>
          <w:lang w:val="en-GB"/>
        </w:rPr>
        <w:lastRenderedPageBreak/>
        <w:t>Legislation</w:t>
      </w:r>
      <w:bookmarkEnd w:id="98"/>
      <w:bookmarkEnd w:id="99"/>
      <w:bookmarkEnd w:id="100"/>
      <w:r w:rsidRPr="001F2F9B">
        <w:rPr>
          <w:lang w:val="en-GB"/>
        </w:rPr>
        <w:t xml:space="preserve"> </w:t>
      </w:r>
    </w:p>
    <w:p w:rsidR="00CA1321" w:rsidRPr="001F2F9B" w:rsidRDefault="00CA1321" w:rsidP="00CA1321">
      <w:pPr>
        <w:pStyle w:val="berschrift2"/>
        <w:ind w:left="576" w:hanging="576"/>
        <w:rPr>
          <w:rFonts w:cs="Times New Roman"/>
          <w:lang w:val="en-GB"/>
        </w:rPr>
      </w:pPr>
      <w:bookmarkStart w:id="101" w:name="_Toc444087632"/>
      <w:bookmarkStart w:id="102" w:name="_Toc444176205"/>
      <w:bookmarkStart w:id="103" w:name="_Toc445378528"/>
      <w:r w:rsidRPr="001F2F9B">
        <w:rPr>
          <w:lang w:val="en-GB"/>
        </w:rPr>
        <w:t>Crisis (emergency, disaster) management concept</w:t>
      </w:r>
      <w:bookmarkEnd w:id="101"/>
      <w:bookmarkEnd w:id="102"/>
      <w:bookmarkEnd w:id="103"/>
    </w:p>
    <w:p w:rsidR="00CA1321" w:rsidRPr="001F2F9B" w:rsidRDefault="00CA1321" w:rsidP="00CA1321">
      <w:pPr>
        <w:tabs>
          <w:tab w:val="left" w:pos="4536"/>
        </w:tabs>
      </w:pPr>
      <w:r w:rsidRPr="001F2F9B">
        <w:t>The VADEMECUM platform</w:t>
      </w:r>
      <w:r w:rsidRPr="001F2F9B">
        <w:rPr>
          <w:rStyle w:val="Funotenzeichen"/>
        </w:rPr>
        <w:footnoteReference w:id="43"/>
      </w:r>
      <w:r w:rsidRPr="001F2F9B">
        <w:t xml:space="preserve"> summarizes the concept as followed:</w:t>
      </w:r>
    </w:p>
    <w:p w:rsidR="00CA1321" w:rsidRPr="001F2F9B" w:rsidRDefault="00CA1321" w:rsidP="00CA1321">
      <w:pPr>
        <w:pStyle w:val="longerquotation"/>
        <w:rPr>
          <w:lang w:val="en-GB"/>
        </w:rPr>
      </w:pPr>
      <w:r w:rsidRPr="001F2F9B">
        <w:rPr>
          <w:lang w:val="en-GB"/>
        </w:rPr>
        <w:t>Each authority is responsible for its statutory functions not only during peacetime, but also during crises such as serious international disturbances, the threat of an armed attack, war, post-war situations, economic crises and disasters. To prepare for emergencies, authorities are obligated by law to take precautionary measures such as making contingency plans, acquiring special equipment and training personnel.</w:t>
      </w:r>
    </w:p>
    <w:p w:rsidR="00CA1321" w:rsidRPr="001F2F9B" w:rsidRDefault="00CA1321" w:rsidP="00CA1321">
      <w:pPr>
        <w:pStyle w:val="longerquotation"/>
        <w:rPr>
          <w:lang w:val="en-GB"/>
        </w:rPr>
      </w:pPr>
      <w:r w:rsidRPr="001F2F9B">
        <w:rPr>
          <w:lang w:val="en-GB"/>
        </w:rPr>
        <w:t>In principle, the same or similar emergency plans apply to the civil administration during both wartime and peacetime civil emergencies.</w:t>
      </w:r>
    </w:p>
    <w:p w:rsidR="00CA1321" w:rsidRPr="001F2F9B" w:rsidRDefault="00CA1321" w:rsidP="00CA1321">
      <w:pPr>
        <w:pStyle w:val="longerquotation"/>
        <w:rPr>
          <w:lang w:val="en-GB"/>
        </w:rPr>
      </w:pPr>
      <w:r w:rsidRPr="001F2F9B">
        <w:rPr>
          <w:lang w:val="en-GB"/>
        </w:rPr>
        <w:t>One guiding principle of the Civil Emergency Planning (CEP) is that each authority continues with its normal functions also during a state of crisis. However, in such a case, authorities can assume specific additional responsibilities related to their normal functions. Another principle is that as few new bodies as possible are introduced into civil administration in case of a crisis.</w:t>
      </w:r>
    </w:p>
    <w:p w:rsidR="00CA1321" w:rsidRPr="001F2F9B" w:rsidRDefault="00CA1321" w:rsidP="00CA1321">
      <w:pPr>
        <w:pStyle w:val="longerquotation"/>
        <w:rPr>
          <w:lang w:val="en-GB"/>
        </w:rPr>
      </w:pPr>
      <w:r w:rsidRPr="001F2F9B">
        <w:rPr>
          <w:lang w:val="en-GB"/>
        </w:rPr>
        <w:t>Organisational changes are kept to a minimum. In addition to authorities, governmental bodies, companies and institutions are to continue with their peacetime functions. Authorities are expected to allocate the necessary funds for emergency planning and other preparatory measures in their annual budgets.</w:t>
      </w:r>
    </w:p>
    <w:p w:rsidR="00CA1321" w:rsidRPr="001F2F9B" w:rsidRDefault="00CA1321" w:rsidP="00CA1321">
      <w:pPr>
        <w:tabs>
          <w:tab w:val="left" w:pos="4536"/>
        </w:tabs>
      </w:pPr>
      <w:r w:rsidRPr="001F2F9B">
        <w:t>See also chapter 1.2</w:t>
      </w:r>
    </w:p>
    <w:p w:rsidR="00CA1321" w:rsidRPr="001F2F9B" w:rsidRDefault="00CA1321" w:rsidP="00CA1321">
      <w:pPr>
        <w:tabs>
          <w:tab w:val="left" w:pos="4536"/>
        </w:tabs>
      </w:pPr>
    </w:p>
    <w:p w:rsidR="00CA1321" w:rsidRPr="001F2F9B" w:rsidRDefault="00CA1321" w:rsidP="00CA1321">
      <w:pPr>
        <w:pStyle w:val="berschrift2"/>
        <w:ind w:left="576" w:hanging="576"/>
        <w:rPr>
          <w:rFonts w:cs="Times New Roman"/>
          <w:lang w:val="en-GB"/>
        </w:rPr>
      </w:pPr>
      <w:bookmarkStart w:id="104" w:name="_Toc444087633"/>
      <w:bookmarkStart w:id="105" w:name="_Toc444176206"/>
      <w:bookmarkStart w:id="106" w:name="_Toc445378529"/>
      <w:r w:rsidRPr="001F2F9B">
        <w:rPr>
          <w:lang w:val="en-GB"/>
        </w:rPr>
        <w:t>General crisis (emergency, disaster) management law</w:t>
      </w:r>
      <w:bookmarkEnd w:id="104"/>
      <w:bookmarkEnd w:id="105"/>
      <w:bookmarkEnd w:id="106"/>
    </w:p>
    <w:p w:rsidR="00CA1321" w:rsidRPr="001F2F9B" w:rsidRDefault="00CA1321" w:rsidP="00CA1321">
      <w:pPr>
        <w:tabs>
          <w:tab w:val="left" w:pos="4536"/>
        </w:tabs>
      </w:pPr>
      <w:r w:rsidRPr="001F2F9B">
        <w:t>Naturally, the underlying law in Finland is the Constitution of the country, which prescribes the grounds for expanding the authorities’ powers in case of emergency conditions. Disaster preparedness in society is based on powers of authority in normal conditions, and special powers of authority to be issued in emergency conditions are based on these.</w:t>
      </w:r>
    </w:p>
    <w:p w:rsidR="00CA1321" w:rsidRPr="001F2F9B" w:rsidRDefault="00CA1321" w:rsidP="00CA1321">
      <w:pPr>
        <w:tabs>
          <w:tab w:val="left" w:pos="4536"/>
        </w:tabs>
      </w:pPr>
      <w:r w:rsidRPr="001F2F9B">
        <w:t xml:space="preserve">With regard to the so called crisis legislation, the </w:t>
      </w:r>
      <w:r w:rsidRPr="001F2F9B">
        <w:rPr>
          <w:rStyle w:val="IntensiveHervorhebung"/>
        </w:rPr>
        <w:t xml:space="preserve">Emergency Powers/Readiness or Preparedness Act </w:t>
      </w:r>
      <w:r w:rsidRPr="001F2F9B">
        <w:t xml:space="preserve">has been updated 2011 and aims to guarantee the nation’s livelihood and the national economy, maintain law and order, protect the basic rights of citizens and safeguard the territorial integrity and independence of the nation in extraordinary situations by regulating authority powers in emergency conditions. It could be applied before or beside the </w:t>
      </w:r>
      <w:r w:rsidRPr="001F2F9B">
        <w:rPr>
          <w:rStyle w:val="IntensiveHervorhebung"/>
        </w:rPr>
        <w:t>State of Defence Act</w:t>
      </w:r>
      <w:r w:rsidRPr="001F2F9B">
        <w:rPr>
          <w:rStyle w:val="Hervorhebung"/>
        </w:rPr>
        <w:t xml:space="preserve"> </w:t>
      </w:r>
      <w:r w:rsidRPr="001F2F9B">
        <w:t>of 1991, which gives additional powers for the government in the defence against an armed aggression.</w:t>
      </w:r>
    </w:p>
    <w:p w:rsidR="00CA1321" w:rsidRPr="001F2F9B" w:rsidRDefault="00CA1321" w:rsidP="00CA1321">
      <w:pPr>
        <w:tabs>
          <w:tab w:val="left" w:pos="4536"/>
        </w:tabs>
      </w:pPr>
      <w:r w:rsidRPr="001F2F9B">
        <w:t xml:space="preserve">The Finnish </w:t>
      </w:r>
      <w:r w:rsidRPr="001F2F9B">
        <w:rPr>
          <w:rStyle w:val="IntensiveHervorhebung"/>
        </w:rPr>
        <w:t>Rescue Act</w:t>
      </w:r>
      <w:r w:rsidRPr="001F2F9B">
        <w:t xml:space="preserve">, which is the country’s basic law for disaster management, requires not only the rescue services but also various other stakeholders, including other state agencies and the private sector, to undertake specific disaster risk management actions. The Act, also amended in 2011, covers </w:t>
      </w:r>
      <w:r w:rsidRPr="001F2F9B">
        <w:lastRenderedPageBreak/>
        <w:t>prevention, preparedness and response and lays down, among other things, the tasks of rescue services and the administration and the powers of rescue authorities from national to local levels. Thus, the Rescue act is the key general act regulating functions during disturbance in normal conditions, where the situation in question is not a crisis pertained to in the Emergency Powers Act (see also 2.3)</w:t>
      </w:r>
      <w:r w:rsidRPr="001F2F9B">
        <w:rPr>
          <w:rStyle w:val="Funotenzeichen"/>
        </w:rPr>
        <w:footnoteReference w:id="44"/>
      </w:r>
      <w:r w:rsidRPr="001F2F9B">
        <w:t>.</w:t>
      </w:r>
    </w:p>
    <w:p w:rsidR="00CA1321" w:rsidRPr="001F2F9B" w:rsidRDefault="00CA1321" w:rsidP="00CA1321">
      <w:pPr>
        <w:tabs>
          <w:tab w:val="left" w:pos="4536"/>
        </w:tabs>
      </w:pPr>
      <w:r w:rsidRPr="001F2F9B">
        <w:t>The rescue service authorities have broad jurisdiction, as stated in the Red Cross’s report on legal preparedness for international disaster response (2014, p.27):</w:t>
      </w:r>
    </w:p>
    <w:p w:rsidR="00CA1321" w:rsidRPr="001F2F9B" w:rsidRDefault="00CA1321" w:rsidP="00CA1321">
      <w:pPr>
        <w:pStyle w:val="longerquotation"/>
        <w:rPr>
          <w:lang w:val="en-GB"/>
        </w:rPr>
      </w:pPr>
      <w:r w:rsidRPr="001F2F9B">
        <w:rPr>
          <w:lang w:val="en-GB"/>
        </w:rPr>
        <w:t>According to Section 36 of the Rescue Act, regional rescue authorities and the rescue authorities of the Ministry of the Interior have the right to “order people to protect themselves and evacuate people and property; take any such necessary action that may cause damage to immovable or movable property; order that buildings, communications links and equipment, as well as equipment, supplies, foodstuffs, fuel and lubricants and extinguishing agents required in rescue operations shall be made available; take any other action as required by rescue operations”. In addition to rescue service authorities, the police have the right to order people to provide assistance in rescue operations.</w:t>
      </w:r>
    </w:p>
    <w:p w:rsidR="00CA1321" w:rsidRPr="001F2F9B" w:rsidRDefault="00CA1321" w:rsidP="00CA1321">
      <w:r w:rsidRPr="001F2F9B">
        <w:t>There are several other acts / laws related to crisis management in Finland, e.g. translations of the national policies into legislation, such as the Climate Change Act (609/2015)</w:t>
      </w:r>
      <w:r w:rsidRPr="001F2F9B">
        <w:rPr>
          <w:rStyle w:val="Funotenzeichen"/>
        </w:rPr>
        <w:footnoteReference w:id="45"/>
      </w:r>
      <w:r w:rsidRPr="001F2F9B">
        <w:t>. Please see also the chapter Resources for the list of acts with regard to relevant legislation according to the Finnish Red Cross’s report on legal preparedness.</w:t>
      </w:r>
      <w:r w:rsidRPr="001F2F9B">
        <w:rPr>
          <w:rStyle w:val="Funotenzeichen"/>
        </w:rPr>
        <w:footnoteReference w:id="46"/>
      </w:r>
    </w:p>
    <w:p w:rsidR="00CA1321" w:rsidRPr="001F2F9B" w:rsidRDefault="00CA1321" w:rsidP="00CA1321"/>
    <w:p w:rsidR="00CA1321" w:rsidRPr="001F2F9B" w:rsidRDefault="00CA1321" w:rsidP="00CA1321">
      <w:pPr>
        <w:tabs>
          <w:tab w:val="left" w:pos="4536"/>
        </w:tabs>
      </w:pPr>
    </w:p>
    <w:p w:rsidR="00CA1321" w:rsidRPr="001F2F9B" w:rsidRDefault="00CA1321" w:rsidP="00CA1321">
      <w:pPr>
        <w:pStyle w:val="berschrift2"/>
        <w:ind w:left="576" w:hanging="576"/>
        <w:rPr>
          <w:lang w:val="en-GB"/>
        </w:rPr>
      </w:pPr>
      <w:bookmarkStart w:id="107" w:name="_Toc444087634"/>
      <w:bookmarkStart w:id="108" w:name="_Toc444176207"/>
      <w:bookmarkStart w:id="109" w:name="_Toc445378530"/>
      <w:r w:rsidRPr="001F2F9B">
        <w:rPr>
          <w:lang w:val="en-GB"/>
        </w:rPr>
        <w:t>Emergency rule</w:t>
      </w:r>
      <w:bookmarkEnd w:id="107"/>
      <w:bookmarkEnd w:id="108"/>
      <w:bookmarkEnd w:id="109"/>
      <w:r w:rsidRPr="001F2F9B">
        <w:rPr>
          <w:lang w:val="en-GB"/>
        </w:rPr>
        <w:t xml:space="preserve"> </w:t>
      </w:r>
    </w:p>
    <w:p w:rsidR="00CA1321" w:rsidRPr="001F2F9B" w:rsidRDefault="00CA1321" w:rsidP="00CA1321">
      <w:pPr>
        <w:tabs>
          <w:tab w:val="left" w:pos="4536"/>
        </w:tabs>
      </w:pPr>
      <w:r w:rsidRPr="001F2F9B">
        <w:t>The Finnish Red Cross’s report on legal preparedness for international disaster response 2014 (p.24) summarizes the criteria for emergency conditions as followed:</w:t>
      </w:r>
    </w:p>
    <w:p w:rsidR="00CA1321" w:rsidRPr="001F2F9B" w:rsidRDefault="00CA1321" w:rsidP="00CA1321">
      <w:pPr>
        <w:pStyle w:val="longerquotation"/>
        <w:rPr>
          <w:lang w:val="en-GB"/>
        </w:rPr>
      </w:pPr>
      <w:r w:rsidRPr="001F2F9B">
        <w:rPr>
          <w:lang w:val="en-GB"/>
        </w:rPr>
        <w:t xml:space="preserve">The application of the provisions of the </w:t>
      </w:r>
      <w:r w:rsidRPr="001F2F9B">
        <w:rPr>
          <w:b/>
          <w:lang w:val="en-GB"/>
        </w:rPr>
        <w:t>Emergency Powers Act</w:t>
      </w:r>
      <w:r w:rsidRPr="001F2F9B">
        <w:rPr>
          <w:lang w:val="en-GB"/>
        </w:rPr>
        <w:t xml:space="preserve"> requires that the Government and the President confirm that the criteria for emergency conditions are met and a Government Decree on using the emergency powers is issued. The Decree must immediately be submitted to Parliament for approval. Emergency powers must be specified accurately and realistically. </w:t>
      </w:r>
    </w:p>
    <w:p w:rsidR="00CA1321" w:rsidRPr="001F2F9B" w:rsidRDefault="00CA1321" w:rsidP="00CA1321">
      <w:pPr>
        <w:pStyle w:val="longerquotation"/>
        <w:rPr>
          <w:lang w:val="en-GB"/>
        </w:rPr>
      </w:pPr>
      <w:r w:rsidRPr="001F2F9B">
        <w:rPr>
          <w:lang w:val="en-GB"/>
        </w:rPr>
        <w:t xml:space="preserve">According to Section 3 of the Emergency Powers Act, emergency conditions include military conflicts, particularly serious incidents or threats to the livelihood of the population or the foundations of the national economy that put at risk the functions vital to society, particularly serious catastrophes and their aftermath, and dangerous communicable diseases that have spread extremely widely and are similar in their effects to particularly serious catastrophes. Emergency powers can only be used if the situation cannot be controlled through the normal powers of authority. If the situation in question is not a crisis pertained to in the Emergency Powers Act, but a disturbance in normal conditions, the authorities shall operate in accordance </w:t>
      </w:r>
      <w:r w:rsidRPr="001F2F9B">
        <w:rPr>
          <w:lang w:val="en-GB"/>
        </w:rPr>
        <w:lastRenderedPageBreak/>
        <w:t>with the normal legislation, decrees and preparedness plans along with other official arrangements.</w:t>
      </w:r>
    </w:p>
    <w:p w:rsidR="00CA1321" w:rsidRPr="001F2F9B" w:rsidRDefault="00CA1321" w:rsidP="00CA1321">
      <w:pPr>
        <w:tabs>
          <w:tab w:val="left" w:pos="4536"/>
        </w:tabs>
      </w:pPr>
      <w:r w:rsidRPr="001F2F9B">
        <w:t>The scope of decision-making or emergency powers during emergency conditions is wide, encompassing large parts of the economy (including for example price controls and the distribution of goods), the organisation of public administration, the postponement of local elections and the transfer of municipal powers, compulsory labour, the confiscation of goods, a duty to submit information to the government, etc. Nevertheless, government decisions on such issues must be put to parliament</w:t>
      </w:r>
      <w:r w:rsidRPr="001F2F9B">
        <w:rPr>
          <w:rStyle w:val="Funotenzeichen"/>
        </w:rPr>
        <w:footnoteReference w:id="47"/>
      </w:r>
      <w:r w:rsidRPr="001F2F9B">
        <w:t>.</w:t>
      </w:r>
    </w:p>
    <w:p w:rsidR="00CA1321" w:rsidRPr="001F2F9B" w:rsidRDefault="00CA1321" w:rsidP="00CA1321">
      <w:pPr>
        <w:tabs>
          <w:tab w:val="left" w:pos="4536"/>
        </w:tabs>
      </w:pPr>
      <w:r w:rsidRPr="001F2F9B">
        <w:t>According to the Emergency Powers act, exceptions to basic rights and personal liberties can only be made in terms of use of labour of Finnish residents. However, exceptions to international human rights obligations cannot be made under any circumstances.</w:t>
      </w:r>
      <w:r w:rsidRPr="001F2F9B">
        <w:rPr>
          <w:rStyle w:val="Funotenzeichen"/>
        </w:rPr>
        <w:footnoteReference w:id="48"/>
      </w:r>
    </w:p>
    <w:p w:rsidR="00CA1321" w:rsidRPr="001F2F9B" w:rsidRDefault="00CA1321" w:rsidP="00CA1321">
      <w:pPr>
        <w:tabs>
          <w:tab w:val="left" w:pos="4536"/>
        </w:tabs>
      </w:pPr>
    </w:p>
    <w:p w:rsidR="00CA1321" w:rsidRPr="001F2F9B" w:rsidRDefault="00CA1321" w:rsidP="00CA1321">
      <w:pPr>
        <w:pStyle w:val="berschrift2"/>
        <w:ind w:left="576" w:hanging="576"/>
        <w:rPr>
          <w:lang w:val="en-GB"/>
        </w:rPr>
      </w:pPr>
      <w:bookmarkStart w:id="110" w:name="_Toc444087635"/>
      <w:bookmarkStart w:id="111" w:name="_Toc444176208"/>
      <w:bookmarkStart w:id="112" w:name="_Toc445378531"/>
      <w:r w:rsidRPr="001F2F9B">
        <w:rPr>
          <w:lang w:val="en-GB"/>
        </w:rPr>
        <w:t>Specific, department/agency-level legal arrangements and regulations on emergency and disaster management</w:t>
      </w:r>
      <w:bookmarkEnd w:id="110"/>
      <w:bookmarkEnd w:id="111"/>
      <w:bookmarkEnd w:id="112"/>
      <w:r w:rsidRPr="001F2F9B">
        <w:rPr>
          <w:lang w:val="en-GB"/>
        </w:rPr>
        <w:t xml:space="preserve"> </w:t>
      </w:r>
    </w:p>
    <w:p w:rsidR="00CA1321" w:rsidRPr="001F2F9B" w:rsidRDefault="00CA1321" w:rsidP="00CA1321">
      <w:pPr>
        <w:tabs>
          <w:tab w:val="left" w:pos="4536"/>
        </w:tabs>
      </w:pPr>
      <w:r w:rsidRPr="001F2F9B">
        <w:t xml:space="preserve">A real specificity of Finland is the </w:t>
      </w:r>
      <w:r w:rsidRPr="001F2F9B">
        <w:rPr>
          <w:rStyle w:val="Hervorhebung"/>
        </w:rPr>
        <w:t>Security of Supply Act</w:t>
      </w:r>
      <w:r w:rsidRPr="001F2F9B">
        <w:t>, which aims to safeguard all economic activities that are necessary for maintaining the population’s livelihood, the country’s economy and national defence during a crisis, having resulted in the creation of a related public-private partnership and of the National Emergency Supply Agency (NESA) (see also 3.1).</w:t>
      </w:r>
    </w:p>
    <w:p w:rsidR="00CA1321" w:rsidRPr="001F2F9B" w:rsidRDefault="00CA1321" w:rsidP="00CA1321">
      <w:pPr>
        <w:tabs>
          <w:tab w:val="left" w:pos="4536"/>
        </w:tabs>
        <w:rPr>
          <w:i/>
        </w:rPr>
      </w:pPr>
      <w:r w:rsidRPr="001F2F9B">
        <w:t>Other important legislative acts referring to disaster risk reduction include the</w:t>
      </w:r>
      <w:r w:rsidRPr="001F2F9B">
        <w:rPr>
          <w:rStyle w:val="Hervorhebung"/>
        </w:rPr>
        <w:t xml:space="preserve"> Land Use and Building Act</w:t>
      </w:r>
      <w:r w:rsidRPr="001F2F9B">
        <w:t xml:space="preserve">, the </w:t>
      </w:r>
      <w:r w:rsidRPr="001F2F9B">
        <w:rPr>
          <w:rStyle w:val="Hervorhebung"/>
        </w:rPr>
        <w:t>Environmental Protection Act</w:t>
      </w:r>
      <w:r w:rsidRPr="001F2F9B">
        <w:t xml:space="preserve">, which aim to reduce the underlying risk factors, or specific arrangements like the </w:t>
      </w:r>
      <w:r w:rsidRPr="001F2F9B">
        <w:rPr>
          <w:rStyle w:val="Hervorhebung"/>
        </w:rPr>
        <w:t>Dam Safety Act</w:t>
      </w:r>
      <w:r w:rsidRPr="001F2F9B">
        <w:t xml:space="preserve"> 2009 or </w:t>
      </w:r>
      <w:r w:rsidRPr="001F2F9B">
        <w:rPr>
          <w:rStyle w:val="Hervorhebung"/>
        </w:rPr>
        <w:t>the Government Decree on Emergency Response Arrangements at Nuclear Power Plants 2008</w:t>
      </w:r>
      <w:r w:rsidRPr="001F2F9B">
        <w:rPr>
          <w:i/>
        </w:rPr>
        <w:t>.</w:t>
      </w:r>
    </w:p>
    <w:p w:rsidR="00CA1321" w:rsidRPr="001F2F9B" w:rsidRDefault="00CA1321" w:rsidP="00CA1321">
      <w:pPr>
        <w:tabs>
          <w:tab w:val="left" w:pos="4536"/>
        </w:tabs>
      </w:pPr>
    </w:p>
    <w:p w:rsidR="00CA1321" w:rsidRPr="001F2F9B" w:rsidRDefault="00CA1321" w:rsidP="00CA1321">
      <w:pPr>
        <w:pStyle w:val="berschrift2"/>
        <w:ind w:left="576" w:hanging="576"/>
        <w:rPr>
          <w:lang w:val="en-GB"/>
        </w:rPr>
      </w:pPr>
      <w:bookmarkStart w:id="113" w:name="_Toc444087636"/>
      <w:bookmarkStart w:id="114" w:name="_Toc444176209"/>
      <w:bookmarkStart w:id="115" w:name="_Toc445378532"/>
      <w:r w:rsidRPr="001F2F9B">
        <w:rPr>
          <w:lang w:val="en-GB"/>
        </w:rPr>
        <w:t>Specific to the regional and local authorities legal arrangements and regulations on emergency and disaster management</w:t>
      </w:r>
      <w:bookmarkEnd w:id="113"/>
      <w:bookmarkEnd w:id="114"/>
      <w:bookmarkEnd w:id="115"/>
    </w:p>
    <w:p w:rsidR="00CA1321" w:rsidRPr="001F2F9B" w:rsidRDefault="00CA1321" w:rsidP="00CA1321">
      <w:r w:rsidRPr="001F2F9B">
        <w:t>Because municipalities for the most part have the responsibility for organising basic services and other functions vital to society, their role in local administration is central. The Finnish Red Cross’s report on legal preparedness for international disaster response 2014 summarizes the regulations on the local/regional levels as followed (p.14-15):</w:t>
      </w:r>
    </w:p>
    <w:p w:rsidR="00CA1321" w:rsidRPr="001F2F9B" w:rsidRDefault="00CA1321" w:rsidP="00CA1321">
      <w:pPr>
        <w:pStyle w:val="longerquotation"/>
        <w:rPr>
          <w:lang w:val="en-GB"/>
        </w:rPr>
      </w:pPr>
      <w:r w:rsidRPr="001F2F9B">
        <w:rPr>
          <w:lang w:val="en-GB"/>
        </w:rPr>
        <w:t xml:space="preserve">The local administration contains the municipalities, whose administration shall be based on the self-government of their residents, in accordance with Section 121 of the Constitution. Provisions on the general principles governing municipal administration and the duties of the municipalities are laid down in legislation. The municipalities have the right to levy municipal tax in order to cover costs incurred, and to manage their tasks. There are 320 municipalities in Finland. They hold a significant responsibility for providing basic services and organising other vital operations in society. The public administration also contains the church administration and indirect public </w:t>
      </w:r>
      <w:r w:rsidRPr="001F2F9B">
        <w:rPr>
          <w:lang w:val="en-GB"/>
        </w:rPr>
        <w:lastRenderedPageBreak/>
        <w:t>administration. The region of Åland is autonomous in accordance with the provisions of the Act on the Autonomy of Åland.</w:t>
      </w:r>
    </w:p>
    <w:p w:rsidR="00CA1321" w:rsidRPr="001F2F9B" w:rsidRDefault="00CA1321" w:rsidP="00CA1321"/>
    <w:p w:rsidR="00CA1321" w:rsidRPr="001F2F9B" w:rsidRDefault="00CA1321" w:rsidP="00CA1321">
      <w:pPr>
        <w:pStyle w:val="berschrift2"/>
        <w:ind w:left="576" w:hanging="576"/>
        <w:rPr>
          <w:rFonts w:cs="Times New Roman"/>
          <w:lang w:val="en-GB"/>
        </w:rPr>
      </w:pPr>
      <w:bookmarkStart w:id="116" w:name="_Toc444087637"/>
      <w:bookmarkStart w:id="117" w:name="_Toc444176210"/>
      <w:bookmarkStart w:id="118" w:name="_Toc445378533"/>
      <w:r w:rsidRPr="001F2F9B">
        <w:rPr>
          <w:lang w:val="en-GB"/>
        </w:rPr>
        <w:t>Legal regulations on the involvement of volunteers and specialised NGOs</w:t>
      </w:r>
      <w:bookmarkEnd w:id="116"/>
      <w:bookmarkEnd w:id="117"/>
      <w:bookmarkEnd w:id="118"/>
    </w:p>
    <w:p w:rsidR="00CA1321" w:rsidRPr="001F2F9B" w:rsidRDefault="00CA1321" w:rsidP="00CA1321">
      <w:r w:rsidRPr="001F2F9B">
        <w:t>According to the Finnish Red Cross’s report on legal preparedness for international disaster response 2014 (p.30-31),</w:t>
      </w:r>
    </w:p>
    <w:p w:rsidR="00CA1321" w:rsidRPr="001F2F9B" w:rsidRDefault="00CA1321" w:rsidP="00CA1321">
      <w:pPr>
        <w:tabs>
          <w:tab w:val="left" w:pos="4536"/>
        </w:tabs>
        <w:spacing w:before="180" w:after="180"/>
        <w:ind w:left="284" w:right="284"/>
        <w:rPr>
          <w:i/>
          <w:iCs/>
          <w:color w:val="5C2A59"/>
        </w:rPr>
      </w:pPr>
      <w:r w:rsidRPr="001F2F9B">
        <w:rPr>
          <w:i/>
          <w:iCs/>
          <w:color w:val="5C2A59"/>
        </w:rPr>
        <w:t>a large number of companies, associations and voluntary organisations participate in public administration. Private service providers play an increasingly significant role in the maintenance of the basic services in society. As a member of the European Union, Finland is committed to the principles of free competition and the freedom to provide services, as well as the related EU legislation.</w:t>
      </w:r>
    </w:p>
    <w:p w:rsidR="00CA1321" w:rsidRPr="001F2F9B" w:rsidRDefault="00CA1321" w:rsidP="00CA1321">
      <w:pPr>
        <w:tabs>
          <w:tab w:val="left" w:pos="4536"/>
        </w:tabs>
        <w:spacing w:before="180" w:after="180"/>
        <w:ind w:left="284" w:right="284"/>
        <w:rPr>
          <w:i/>
          <w:iCs/>
          <w:color w:val="5C2A59"/>
        </w:rPr>
      </w:pPr>
      <w:r w:rsidRPr="001F2F9B">
        <w:rPr>
          <w:i/>
          <w:iCs/>
          <w:color w:val="5C2A59"/>
        </w:rPr>
        <w:t>According to Section 51 of the Rescue Act, voluntary organisations and persons may be used to assist in the training, advisory and educational duties of rescue services and in rescue operations; they may not, however, be used in duties that involve a substantial use of public authority, such as the use of official powers or inspection. The authorities assigned by law are always ultimately responsible for statutory duties. The police can use members of voluntary organisations in carrying out search operations and other assistance tasks that do not involve the substantial exercise of official authority. The Finnish Red Cross is an organisation whose foundation and activities are governed by public law.</w:t>
      </w:r>
    </w:p>
    <w:p w:rsidR="00CA1321" w:rsidRPr="001F2F9B" w:rsidRDefault="00CA1321" w:rsidP="00CA1321">
      <w:pPr>
        <w:tabs>
          <w:tab w:val="left" w:pos="4536"/>
        </w:tabs>
        <w:spacing w:before="180" w:after="180"/>
        <w:ind w:left="284" w:right="284"/>
        <w:rPr>
          <w:i/>
          <w:iCs/>
          <w:color w:val="5C2A59"/>
        </w:rPr>
      </w:pPr>
      <w:r w:rsidRPr="001F2F9B">
        <w:rPr>
          <w:i/>
          <w:iCs/>
          <w:color w:val="5C2A59"/>
        </w:rPr>
        <w:t xml:space="preserve">The </w:t>
      </w:r>
      <w:r w:rsidRPr="001F2F9B">
        <w:rPr>
          <w:b/>
          <w:i/>
          <w:iCs/>
          <w:color w:val="5C2A59"/>
        </w:rPr>
        <w:t>Volunteer Rescue Service</w:t>
      </w:r>
      <w:r w:rsidRPr="001F2F9B">
        <w:rPr>
          <w:i/>
          <w:iCs/>
          <w:color w:val="5C2A59"/>
        </w:rPr>
        <w:t xml:space="preserve"> (</w:t>
      </w:r>
      <w:r w:rsidRPr="001F2F9B">
        <w:rPr>
          <w:b/>
          <w:i/>
          <w:iCs/>
          <w:color w:val="5C2A59"/>
        </w:rPr>
        <w:t>Vapepa</w:t>
      </w:r>
      <w:r w:rsidRPr="001F2F9B">
        <w:rPr>
          <w:i/>
          <w:iCs/>
          <w:color w:val="5C2A59"/>
        </w:rPr>
        <w:t>) is an association of 50 organisations. Its purpose is to support the authorities, particularly in operations requiring a large number of rescue personnel. If requested, Vapepa works in collaboration with the authorities, supporting and complementing them. Its organisations have a number of agreements on both the local and the national levels with the police, rescue authorities and social welfare and health authorities. Voluntary rescue services in general are coordinated by the Finnish Red Cross. The Finnish Lifeboat Institution coordinates voluntary sea rescue services, and the Finnish Air Rescue Society coordinates voluntary air rescue services.</w:t>
      </w:r>
    </w:p>
    <w:p w:rsidR="00CA1321" w:rsidRPr="001F2F9B" w:rsidRDefault="00CA1321" w:rsidP="00CA1321">
      <w:pPr>
        <w:tabs>
          <w:tab w:val="left" w:pos="4536"/>
        </w:tabs>
      </w:pPr>
    </w:p>
    <w:p w:rsidR="00CA1321" w:rsidRPr="001F2F9B" w:rsidRDefault="00CA1321" w:rsidP="00CA1321">
      <w:pPr>
        <w:pStyle w:val="berschrift2"/>
        <w:ind w:left="576" w:hanging="576"/>
        <w:rPr>
          <w:lang w:val="en-GB"/>
        </w:rPr>
      </w:pPr>
      <w:bookmarkStart w:id="119" w:name="_Toc444087638"/>
      <w:bookmarkStart w:id="120" w:name="_Toc444176211"/>
      <w:bookmarkStart w:id="121" w:name="_Toc445378534"/>
      <w:r w:rsidRPr="001F2F9B">
        <w:rPr>
          <w:lang w:val="en-GB"/>
        </w:rPr>
        <w:t>Legal regulations for international engagements of first responders and crisis managers</w:t>
      </w:r>
      <w:bookmarkEnd w:id="119"/>
      <w:bookmarkEnd w:id="120"/>
      <w:bookmarkEnd w:id="121"/>
    </w:p>
    <w:p w:rsidR="00CA1321" w:rsidRPr="001F2F9B" w:rsidRDefault="00CA1321" w:rsidP="00CA1321">
      <w:pPr>
        <w:tabs>
          <w:tab w:val="left" w:pos="4536"/>
        </w:tabs>
      </w:pPr>
      <w:r w:rsidRPr="001F2F9B">
        <w:t>International engagements of Finish first responders abroad are regulated by the Act on the Participation of Civilian Personnel in Crisis Management (1287/2004).</w:t>
      </w:r>
    </w:p>
    <w:p w:rsidR="00CA1321" w:rsidRPr="001F2F9B" w:rsidRDefault="00CA1321" w:rsidP="00CA1321">
      <w:pPr>
        <w:tabs>
          <w:tab w:val="left" w:pos="4536"/>
        </w:tabs>
      </w:pPr>
      <w:r w:rsidRPr="001F2F9B">
        <w:t>According to this act (chapter 2, section 5(1)),</w:t>
      </w:r>
    </w:p>
    <w:p w:rsidR="00CA1321" w:rsidRPr="001F2F9B" w:rsidRDefault="00CA1321" w:rsidP="00CA1321">
      <w:pPr>
        <w:pStyle w:val="longerquotation"/>
        <w:rPr>
          <w:lang w:val="en-GB"/>
        </w:rPr>
      </w:pPr>
      <w:r w:rsidRPr="001F2F9B">
        <w:rPr>
          <w:lang w:val="en-GB"/>
        </w:rPr>
        <w:t>A person participating in crisis management abroad has a fixed-term employment relationship, governed by public law, with the State, which is represented as an employer by the Ministry of the Interior. The State as an employer is, however, represented by the Ministry for Foreign Affairs, if foreign and security policy considerations warrant it.</w:t>
      </w:r>
    </w:p>
    <w:p w:rsidR="00CA1321" w:rsidRPr="001F2F9B" w:rsidRDefault="00CA1321" w:rsidP="00CA1321">
      <w:pPr>
        <w:tabs>
          <w:tab w:val="left" w:pos="4536"/>
        </w:tabs>
      </w:pPr>
      <w:r w:rsidRPr="001F2F9B">
        <w:lastRenderedPageBreak/>
        <w:t>With regard to rights and obligations of persons in employment relationships in chapter 2, the act further gives information on:</w:t>
      </w:r>
    </w:p>
    <w:p w:rsidR="00CA1321" w:rsidRPr="001F2F9B" w:rsidRDefault="00CA1321" w:rsidP="004C232D">
      <w:pPr>
        <w:pStyle w:val="Listenabsatz"/>
        <w:numPr>
          <w:ilvl w:val="0"/>
          <w:numId w:val="6"/>
        </w:numPr>
        <w:spacing w:after="120"/>
        <w:contextualSpacing w:val="0"/>
      </w:pPr>
      <w:r w:rsidRPr="001F2F9B">
        <w:t>Leave of absence and continuation of an employment or civil service relationship</w:t>
      </w:r>
    </w:p>
    <w:p w:rsidR="00CA1321" w:rsidRPr="001F2F9B" w:rsidRDefault="00CA1321" w:rsidP="004C232D">
      <w:pPr>
        <w:pStyle w:val="Listenabsatz"/>
        <w:numPr>
          <w:ilvl w:val="0"/>
          <w:numId w:val="6"/>
        </w:numPr>
        <w:spacing w:after="120"/>
        <w:contextualSpacing w:val="0"/>
      </w:pPr>
      <w:r w:rsidRPr="001F2F9B">
        <w:t>Holiday compensation</w:t>
      </w:r>
    </w:p>
    <w:p w:rsidR="00CA1321" w:rsidRPr="001F2F9B" w:rsidRDefault="00CA1321" w:rsidP="004C232D">
      <w:pPr>
        <w:pStyle w:val="Listenabsatz"/>
        <w:numPr>
          <w:ilvl w:val="0"/>
          <w:numId w:val="6"/>
        </w:numPr>
        <w:spacing w:after="120"/>
        <w:contextualSpacing w:val="0"/>
      </w:pPr>
      <w:r w:rsidRPr="001F2F9B">
        <w:t>Family leave and sick leave</w:t>
      </w:r>
    </w:p>
    <w:p w:rsidR="00CA1321" w:rsidRPr="001F2F9B" w:rsidRDefault="00CA1321" w:rsidP="004C232D">
      <w:pPr>
        <w:pStyle w:val="Listenabsatz"/>
        <w:numPr>
          <w:ilvl w:val="0"/>
          <w:numId w:val="6"/>
        </w:numPr>
        <w:spacing w:after="120"/>
        <w:contextualSpacing w:val="0"/>
      </w:pPr>
      <w:r w:rsidRPr="001F2F9B">
        <w:t>Group life insurance</w:t>
      </w:r>
    </w:p>
    <w:p w:rsidR="00CA1321" w:rsidRPr="001F2F9B" w:rsidRDefault="00CA1321" w:rsidP="004C232D">
      <w:pPr>
        <w:pStyle w:val="Listenabsatz"/>
        <w:numPr>
          <w:ilvl w:val="0"/>
          <w:numId w:val="6"/>
        </w:numPr>
        <w:spacing w:after="120"/>
        <w:contextualSpacing w:val="0"/>
      </w:pPr>
      <w:r w:rsidRPr="001F2F9B">
        <w:t>Pension rights</w:t>
      </w:r>
    </w:p>
    <w:p w:rsidR="00CA1321" w:rsidRPr="001F2F9B" w:rsidRDefault="00CA1321" w:rsidP="004C232D">
      <w:pPr>
        <w:pStyle w:val="Listenabsatz"/>
        <w:numPr>
          <w:ilvl w:val="0"/>
          <w:numId w:val="6"/>
        </w:numPr>
        <w:spacing w:after="120"/>
        <w:contextualSpacing w:val="0"/>
      </w:pPr>
      <w:r w:rsidRPr="001F2F9B">
        <w:t>General retirement age</w:t>
      </w:r>
    </w:p>
    <w:p w:rsidR="00CA1321" w:rsidRPr="001F2F9B" w:rsidRDefault="00CA1321" w:rsidP="004C232D">
      <w:pPr>
        <w:pStyle w:val="Listenabsatz"/>
        <w:numPr>
          <w:ilvl w:val="0"/>
          <w:numId w:val="6"/>
        </w:numPr>
        <w:spacing w:after="120"/>
        <w:contextualSpacing w:val="0"/>
      </w:pPr>
      <w:r w:rsidRPr="001F2F9B">
        <w:t>Basic salary</w:t>
      </w:r>
    </w:p>
    <w:p w:rsidR="00CA1321" w:rsidRPr="001F2F9B" w:rsidRDefault="00CA1321" w:rsidP="004C232D">
      <w:pPr>
        <w:pStyle w:val="Listenabsatz"/>
        <w:numPr>
          <w:ilvl w:val="0"/>
          <w:numId w:val="6"/>
        </w:numPr>
        <w:spacing w:after="120"/>
        <w:contextualSpacing w:val="0"/>
      </w:pPr>
      <w:r w:rsidRPr="001F2F9B">
        <w:t>Compensation for conditions</w:t>
      </w:r>
    </w:p>
    <w:p w:rsidR="00CA1321" w:rsidRPr="001F2F9B" w:rsidRDefault="00CA1321" w:rsidP="004C232D">
      <w:pPr>
        <w:pStyle w:val="Listenabsatz"/>
        <w:numPr>
          <w:ilvl w:val="0"/>
          <w:numId w:val="6"/>
        </w:numPr>
        <w:spacing w:after="120"/>
        <w:contextualSpacing w:val="0"/>
      </w:pPr>
      <w:r w:rsidRPr="001F2F9B">
        <w:t>Compensation for certain costs</w:t>
      </w:r>
    </w:p>
    <w:p w:rsidR="00CA1321" w:rsidRPr="001F2F9B" w:rsidRDefault="00CA1321" w:rsidP="004C232D">
      <w:pPr>
        <w:pStyle w:val="Listenabsatz"/>
        <w:numPr>
          <w:ilvl w:val="0"/>
          <w:numId w:val="6"/>
        </w:numPr>
        <w:spacing w:after="120"/>
        <w:contextualSpacing w:val="0"/>
      </w:pPr>
      <w:r w:rsidRPr="001F2F9B">
        <w:t>Termination of employment relationships</w:t>
      </w:r>
    </w:p>
    <w:p w:rsidR="00CA1321" w:rsidRPr="001F2F9B" w:rsidRDefault="00CA1321" w:rsidP="00CA1321">
      <w:pPr>
        <w:pStyle w:val="berschrift1"/>
        <w:rPr>
          <w:lang w:val="en-GB"/>
        </w:rPr>
      </w:pPr>
      <w:bookmarkStart w:id="122" w:name="_Toc444087639"/>
      <w:bookmarkStart w:id="123" w:name="_Toc444176212"/>
      <w:bookmarkStart w:id="124" w:name="_Toc445378535"/>
      <w:r w:rsidRPr="001F2F9B">
        <w:rPr>
          <w:lang w:val="en-GB"/>
        </w:rPr>
        <w:lastRenderedPageBreak/>
        <w:t>Organisation</w:t>
      </w:r>
      <w:bookmarkEnd w:id="122"/>
      <w:bookmarkEnd w:id="123"/>
      <w:bookmarkEnd w:id="124"/>
    </w:p>
    <w:p w:rsidR="00CA1321" w:rsidRPr="001F2F9B" w:rsidRDefault="00CA1321" w:rsidP="00CA1321">
      <w:pPr>
        <w:pStyle w:val="berschrift2"/>
        <w:ind w:left="576" w:hanging="576"/>
        <w:rPr>
          <w:lang w:val="en-GB"/>
        </w:rPr>
      </w:pPr>
      <w:bookmarkStart w:id="125" w:name="_Toc444087640"/>
      <w:bookmarkStart w:id="126" w:name="_Toc444176213"/>
      <w:bookmarkStart w:id="127" w:name="_Toc445378536"/>
      <w:r w:rsidRPr="001F2F9B">
        <w:rPr>
          <w:lang w:val="en-GB"/>
        </w:rPr>
        <w:t>Organisational chart</w:t>
      </w:r>
      <w:bookmarkEnd w:id="125"/>
      <w:bookmarkEnd w:id="126"/>
      <w:bookmarkEnd w:id="127"/>
    </w:p>
    <w:p w:rsidR="00CA1321" w:rsidRPr="001F2F9B" w:rsidRDefault="00CA1321" w:rsidP="00CA1321">
      <w:r w:rsidRPr="001F2F9B">
        <w:rPr>
          <w:rStyle w:val="longerquotationZchn"/>
          <w:lang w:val="en-GB"/>
        </w:rPr>
        <w:t xml:space="preserve">In Finland, disaster preparedness is implemented at all levels of society. All administrative sectors are obligated to draw up preparedness plans and maintain preparedness in case of emergency conditions or disturbances in normal conditions. The administrative system in Finland is based on the </w:t>
      </w:r>
      <w:r w:rsidRPr="001F2F9B">
        <w:rPr>
          <w:rStyle w:val="IntensiveHervorhebung"/>
        </w:rPr>
        <w:t>principle of strong mutual trust</w:t>
      </w:r>
      <w:r w:rsidRPr="001F2F9B">
        <w:rPr>
          <w:rStyle w:val="longerquotationZchn"/>
          <w:lang w:val="en-GB"/>
        </w:rPr>
        <w:t>: the authorities trust and comply with decisions made by other authorities within their jurisdiction. The authorities support one another and collaborate. Responsibility lies with the authorities to which the duties are assigned by law</w:t>
      </w:r>
      <w:r w:rsidRPr="001F2F9B">
        <w:rPr>
          <w:rStyle w:val="Funotenzeichen"/>
          <w:i/>
          <w:iCs/>
          <w:color w:val="5C2A59"/>
        </w:rPr>
        <w:footnoteReference w:id="49"/>
      </w:r>
      <w:r w:rsidRPr="001F2F9B">
        <w:t xml:space="preserve"> (see also chapter 1 &amp; 2).</w:t>
      </w:r>
    </w:p>
    <w:p w:rsidR="00CA1321" w:rsidRPr="001F2F9B" w:rsidRDefault="00CA1321" w:rsidP="00CA1321">
      <w:pPr>
        <w:tabs>
          <w:tab w:val="left" w:pos="4536"/>
        </w:tabs>
      </w:pPr>
      <w:r w:rsidRPr="001F2F9B">
        <w:rPr>
          <w:noProof/>
          <w:lang w:val="es-ES" w:eastAsia="es-ES"/>
        </w:rPr>
        <w:drawing>
          <wp:inline distT="0" distB="0" distL="0" distR="0" wp14:anchorId="546715BF" wp14:editId="11BA1343">
            <wp:extent cx="5759450" cy="3740340"/>
            <wp:effectExtent l="0" t="0" r="0" b="0"/>
            <wp:docPr id="5162" name="Grafik 5162" descr="G:\SP8\WP82\82.1\High level analysis INT\Finland\organisational chart_vademec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P8\WP82\82.1\High level analysis INT\Finland\organisational chart_vademecum.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3740340"/>
                    </a:xfrm>
                    <a:prstGeom prst="rect">
                      <a:avLst/>
                    </a:prstGeom>
                    <a:noFill/>
                    <a:ln>
                      <a:noFill/>
                    </a:ln>
                  </pic:spPr>
                </pic:pic>
              </a:graphicData>
            </a:graphic>
          </wp:inline>
        </w:drawing>
      </w:r>
    </w:p>
    <w:p w:rsidR="00CA1321" w:rsidRPr="001F2F9B" w:rsidRDefault="00CA1321" w:rsidP="00CA1321">
      <w:pPr>
        <w:pStyle w:val="Beschriftung"/>
        <w:spacing w:after="0"/>
        <w:jc w:val="left"/>
      </w:pPr>
      <w:bookmarkStart w:id="128" w:name="_Toc444089829"/>
      <w:r w:rsidRPr="001F2F9B">
        <w:t xml:space="preserve">Figure </w:t>
      </w:r>
      <w:r w:rsidRPr="001F2F9B">
        <w:fldChar w:fldCharType="begin"/>
      </w:r>
      <w:r w:rsidRPr="001F2F9B">
        <w:instrText xml:space="preserve"> SEQ Figure \* ARABIC </w:instrText>
      </w:r>
      <w:r w:rsidRPr="001F2F9B">
        <w:fldChar w:fldCharType="separate"/>
      </w:r>
      <w:r>
        <w:rPr>
          <w:noProof/>
        </w:rPr>
        <w:t>8</w:t>
      </w:r>
      <w:r w:rsidRPr="001F2F9B">
        <w:fldChar w:fldCharType="end"/>
      </w:r>
      <w:r w:rsidRPr="001F2F9B">
        <w:t>: Organisational Chart of the Crisis Management Structure of Finland</w:t>
      </w:r>
      <w:bookmarkEnd w:id="128"/>
    </w:p>
    <w:p w:rsidR="00CA1321" w:rsidRPr="00BD4CF3" w:rsidRDefault="00CA1321" w:rsidP="00CA1321">
      <w:pPr>
        <w:pStyle w:val="Beschriftung"/>
        <w:jc w:val="left"/>
        <w:rPr>
          <w:lang w:val="fr-FR"/>
        </w:rPr>
      </w:pPr>
      <w:r w:rsidRPr="00BD4CF3">
        <w:rPr>
          <w:lang w:val="fr-FR"/>
        </w:rPr>
        <w:t xml:space="preserve">Source: </w:t>
      </w:r>
      <w:hyperlink r:id="rId15" w:history="1">
        <w:r w:rsidRPr="00BD4CF3">
          <w:rPr>
            <w:rStyle w:val="Hyperlink"/>
            <w:lang w:val="fr-FR"/>
          </w:rPr>
          <w:t>http://ec.europa.eu/echo/files/civil_protection/vademecum/fi/2-fi-1.html</w:t>
        </w:r>
      </w:hyperlink>
    </w:p>
    <w:p w:rsidR="00CA1321" w:rsidRPr="001F2F9B" w:rsidRDefault="00CA1321" w:rsidP="00CA1321">
      <w:r w:rsidRPr="001F2F9B">
        <w:t xml:space="preserve">Finland has established a strong and comprehensive disaster management system which at present remains highly decentralized. </w:t>
      </w:r>
    </w:p>
    <w:p w:rsidR="00CA1321" w:rsidRPr="001F2F9B" w:rsidRDefault="00CA1321" w:rsidP="00CA1321">
      <w:r w:rsidRPr="001F2F9B">
        <w:t xml:space="preserve">At national level, the </w:t>
      </w:r>
      <w:r w:rsidRPr="001F2F9B">
        <w:rPr>
          <w:rStyle w:val="IntensiveHervorhebung"/>
        </w:rPr>
        <w:t>Prime Minister’s office</w:t>
      </w:r>
      <w:r w:rsidRPr="001F2F9B">
        <w:t xml:space="preserve"> is responsible for the coordination of crisis management. The Permanent Secretaries of the ministries are responsible for securing the functions of their respective administrative branches in a state of emergency as provided for in the Security Strategy for Society. A committee of the </w:t>
      </w:r>
      <w:r w:rsidRPr="001F2F9B">
        <w:rPr>
          <w:rStyle w:val="IntensiveHervorhebung"/>
        </w:rPr>
        <w:t>Heads of Preparedness</w:t>
      </w:r>
      <w:r w:rsidRPr="001F2F9B">
        <w:t xml:space="preserve"> of all ministries can be convened in case of a crisis. </w:t>
      </w:r>
    </w:p>
    <w:p w:rsidR="00CA1321" w:rsidRPr="001F2F9B" w:rsidRDefault="00CA1321" w:rsidP="00CA1321">
      <w:pPr>
        <w:tabs>
          <w:tab w:val="left" w:pos="4536"/>
        </w:tabs>
      </w:pPr>
      <w:r w:rsidRPr="001F2F9B">
        <w:t xml:space="preserve">The </w:t>
      </w:r>
      <w:r w:rsidRPr="001F2F9B">
        <w:rPr>
          <w:rStyle w:val="IntensiveHervorhebung"/>
        </w:rPr>
        <w:t>Ministry of the Interior’s</w:t>
      </w:r>
      <w:r w:rsidRPr="001F2F9B">
        <w:t xml:space="preserve"> </w:t>
      </w:r>
      <w:r w:rsidRPr="001F2F9B">
        <w:rPr>
          <w:rStyle w:val="IntensiveHervorhebung"/>
        </w:rPr>
        <w:t>Department for Rescue Services</w:t>
      </w:r>
      <w:r w:rsidRPr="001F2F9B">
        <w:t xml:space="preserve"> has been appointed the </w:t>
      </w:r>
      <w:r w:rsidRPr="001F2F9B">
        <w:rPr>
          <w:rStyle w:val="Hervorhebung"/>
        </w:rPr>
        <w:t>National Coordinato</w:t>
      </w:r>
      <w:r w:rsidRPr="001F2F9B">
        <w:t>r for the implementation of the Hyogo Framework for Action. The task of the National Coordinator is to report to the United Nations on the results of work to prevent disasters caused by natural hazards and mitigate their damage.</w:t>
      </w:r>
    </w:p>
    <w:p w:rsidR="00CA1321" w:rsidRPr="001F2F9B" w:rsidRDefault="00CA1321" w:rsidP="00CA1321">
      <w:pPr>
        <w:tabs>
          <w:tab w:val="left" w:pos="4536"/>
        </w:tabs>
      </w:pPr>
      <w:r w:rsidRPr="001F2F9B">
        <w:lastRenderedPageBreak/>
        <w:t xml:space="preserve">The </w:t>
      </w:r>
      <w:r w:rsidRPr="001F2F9B">
        <w:rPr>
          <w:rStyle w:val="Hervorhebung"/>
        </w:rPr>
        <w:t>Finnish Cooperation Network</w:t>
      </w:r>
      <w:r w:rsidRPr="001F2F9B">
        <w:t xml:space="preserve"> was appointed on 7 May 2010 to act as a cooperation body and to prepare a </w:t>
      </w:r>
      <w:r w:rsidRPr="001F2F9B">
        <w:rPr>
          <w:rStyle w:val="IntensiveHervorhebung"/>
        </w:rPr>
        <w:t>National Platform for Disaster Risk Reduction</w:t>
      </w:r>
      <w:r w:rsidRPr="001F2F9B">
        <w:t xml:space="preserve">. The Cooperation Network consists of a </w:t>
      </w:r>
      <w:r w:rsidRPr="001F2F9B">
        <w:rPr>
          <w:rStyle w:val="Hervorhebung"/>
        </w:rPr>
        <w:t>steering committee</w:t>
      </w:r>
      <w:r w:rsidRPr="001F2F9B">
        <w:t xml:space="preserve"> and an </w:t>
      </w:r>
      <w:r w:rsidRPr="001F2F9B">
        <w:rPr>
          <w:rStyle w:val="Hervorhebung"/>
        </w:rPr>
        <w:t>expert committee</w:t>
      </w:r>
      <w:r w:rsidRPr="001F2F9B">
        <w:t>, whose tasks are specified in the letter of appointment and does not have independent competences.</w:t>
      </w:r>
    </w:p>
    <w:p w:rsidR="00CA1321" w:rsidRPr="001F2F9B" w:rsidRDefault="00CA1321" w:rsidP="00CA1321">
      <w:pPr>
        <w:tabs>
          <w:tab w:val="left" w:pos="4536"/>
        </w:tabs>
      </w:pPr>
      <w:r w:rsidRPr="001F2F9B">
        <w:t>The aim of the Cooperation Network is to clarify the overall picture of preparedness for natural disasters and to identify areas that require further action or development. The National Platform aims also to monitor the progress in each issue. In addition, the Cooperation Network aims to find issues for which there is a clear need for development.</w:t>
      </w:r>
      <w:r w:rsidRPr="001F2F9B">
        <w:rPr>
          <w:rStyle w:val="Funotenzeichen"/>
        </w:rPr>
        <w:footnoteReference w:id="50"/>
      </w:r>
    </w:p>
    <w:p w:rsidR="00CA1321" w:rsidRPr="001F2F9B" w:rsidRDefault="00CA1321" w:rsidP="00CA1321">
      <w:pPr>
        <w:tabs>
          <w:tab w:val="left" w:pos="4536"/>
        </w:tabs>
      </w:pPr>
    </w:p>
    <w:p w:rsidR="00CA1321" w:rsidRPr="001F2F9B" w:rsidRDefault="00CA1321" w:rsidP="00CA1321">
      <w:pPr>
        <w:tabs>
          <w:tab w:val="left" w:pos="4536"/>
        </w:tabs>
        <w:jc w:val="center"/>
      </w:pPr>
      <w:r w:rsidRPr="001F2F9B">
        <w:rPr>
          <w:noProof/>
          <w:lang w:val="es-ES" w:eastAsia="es-ES"/>
        </w:rPr>
        <w:drawing>
          <wp:inline distT="0" distB="0" distL="0" distR="0" wp14:anchorId="2A81A0C5" wp14:editId="4A017E95">
            <wp:extent cx="5759450" cy="4685201"/>
            <wp:effectExtent l="0" t="0" r="0" b="1270"/>
            <wp:docPr id="5163" name="Grafik 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lum contrast="20000"/>
                      <a:extLst>
                        <a:ext uri="{28A0092B-C50C-407E-A947-70E740481C1C}">
                          <a14:useLocalDpi xmlns:a14="http://schemas.microsoft.com/office/drawing/2010/main" val="0"/>
                        </a:ext>
                      </a:extLst>
                    </a:blip>
                    <a:srcRect/>
                    <a:stretch>
                      <a:fillRect/>
                    </a:stretch>
                  </pic:blipFill>
                  <pic:spPr bwMode="auto">
                    <a:xfrm>
                      <a:off x="0" y="0"/>
                      <a:ext cx="5759450" cy="4685201"/>
                    </a:xfrm>
                    <a:prstGeom prst="rect">
                      <a:avLst/>
                    </a:prstGeom>
                    <a:noFill/>
                    <a:ln>
                      <a:noFill/>
                    </a:ln>
                  </pic:spPr>
                </pic:pic>
              </a:graphicData>
            </a:graphic>
          </wp:inline>
        </w:drawing>
      </w:r>
    </w:p>
    <w:p w:rsidR="00CA1321" w:rsidRPr="001F2F9B" w:rsidRDefault="00CA1321" w:rsidP="00CA1321">
      <w:pPr>
        <w:pStyle w:val="Beschriftung"/>
        <w:spacing w:after="0"/>
        <w:jc w:val="left"/>
      </w:pPr>
      <w:bookmarkStart w:id="129" w:name="_Toc444089830"/>
      <w:r w:rsidRPr="001F2F9B">
        <w:t xml:space="preserve">Figure </w:t>
      </w:r>
      <w:r w:rsidRPr="001F2F9B">
        <w:fldChar w:fldCharType="begin"/>
      </w:r>
      <w:r w:rsidRPr="001F2F9B">
        <w:instrText xml:space="preserve"> SEQ Figure \* ARABIC </w:instrText>
      </w:r>
      <w:r w:rsidRPr="001F2F9B">
        <w:fldChar w:fldCharType="separate"/>
      </w:r>
      <w:r>
        <w:rPr>
          <w:noProof/>
        </w:rPr>
        <w:t>9</w:t>
      </w:r>
      <w:r w:rsidRPr="001F2F9B">
        <w:fldChar w:fldCharType="end"/>
      </w:r>
      <w:r w:rsidRPr="001F2F9B">
        <w:t>: The principle of the management of disturbances</w:t>
      </w:r>
      <w:bookmarkEnd w:id="129"/>
    </w:p>
    <w:p w:rsidR="00CA1321" w:rsidRPr="001F2F9B" w:rsidRDefault="00CA1321" w:rsidP="00CA1321">
      <w:pPr>
        <w:pStyle w:val="Beschriftung"/>
      </w:pPr>
      <w:r w:rsidRPr="001F2F9B">
        <w:t>Source: “Security Strategy for Society”, Ministry of Foreign Affairs 2010.</w:t>
      </w:r>
    </w:p>
    <w:p w:rsidR="00CA1321" w:rsidRPr="001F2F9B" w:rsidRDefault="00CA1321" w:rsidP="00CA1321"/>
    <w:p w:rsidR="00CA1321" w:rsidRPr="001F2F9B" w:rsidRDefault="00CA1321" w:rsidP="00CA1321">
      <w:r w:rsidRPr="001F2F9B">
        <w:t>The Ministry of the Interior Department for Rescue Services directs and monitors rescue services. According to the Homepage of the Ministry of the Interior</w:t>
      </w:r>
      <w:r w:rsidRPr="001F2F9B">
        <w:rPr>
          <w:rStyle w:val="Funotenzeichen"/>
        </w:rPr>
        <w:footnoteReference w:id="51"/>
      </w:r>
      <w:r w:rsidRPr="001F2F9B">
        <w:t>, the Department for Rescue Services is responsible for the following matters:</w:t>
      </w:r>
    </w:p>
    <w:p w:rsidR="00CA1321" w:rsidRPr="001F2F9B" w:rsidRDefault="00CA1321" w:rsidP="004C232D">
      <w:pPr>
        <w:pStyle w:val="Listenabsatz"/>
        <w:numPr>
          <w:ilvl w:val="0"/>
          <w:numId w:val="6"/>
        </w:numPr>
        <w:spacing w:after="120"/>
        <w:contextualSpacing w:val="0"/>
      </w:pPr>
      <w:r w:rsidRPr="001F2F9B">
        <w:lastRenderedPageBreak/>
        <w:t>rescue services</w:t>
      </w:r>
    </w:p>
    <w:p w:rsidR="00CA1321" w:rsidRPr="001F2F9B" w:rsidRDefault="00CA1321" w:rsidP="004C232D">
      <w:pPr>
        <w:pStyle w:val="Listenabsatz"/>
        <w:numPr>
          <w:ilvl w:val="0"/>
          <w:numId w:val="6"/>
        </w:numPr>
        <w:spacing w:after="120"/>
        <w:contextualSpacing w:val="0"/>
      </w:pPr>
      <w:r w:rsidRPr="001F2F9B">
        <w:t xml:space="preserve">emergency response centre operations, the </w:t>
      </w:r>
      <w:r w:rsidRPr="001F2F9B">
        <w:rPr>
          <w:rStyle w:val="IntensiveHervorhebung"/>
        </w:rPr>
        <w:t>Emergency Response Centre</w:t>
      </w:r>
      <w:r w:rsidRPr="001F2F9B">
        <w:t xml:space="preserve"> </w:t>
      </w:r>
      <w:r w:rsidRPr="001F2F9B">
        <w:rPr>
          <w:rStyle w:val="IntensiveHervorhebung"/>
        </w:rPr>
        <w:t xml:space="preserve">Administration </w:t>
      </w:r>
      <w:r w:rsidRPr="001F2F9B">
        <w:t>and performance guidance for it</w:t>
      </w:r>
    </w:p>
    <w:p w:rsidR="00CA1321" w:rsidRPr="001F2F9B" w:rsidRDefault="00CA1321" w:rsidP="004C232D">
      <w:pPr>
        <w:pStyle w:val="Listenabsatz"/>
        <w:numPr>
          <w:ilvl w:val="0"/>
          <w:numId w:val="6"/>
        </w:numPr>
        <w:spacing w:after="120"/>
        <w:contextualSpacing w:val="0"/>
      </w:pPr>
      <w:r w:rsidRPr="001F2F9B">
        <w:t xml:space="preserve">the </w:t>
      </w:r>
      <w:r w:rsidRPr="001F2F9B">
        <w:rPr>
          <w:rStyle w:val="IntensiveHervorhebung"/>
        </w:rPr>
        <w:t>Emergency Services College</w:t>
      </w:r>
      <w:r w:rsidRPr="001F2F9B">
        <w:t xml:space="preserve"> and performance guidance for the College</w:t>
      </w:r>
    </w:p>
    <w:p w:rsidR="00CA1321" w:rsidRPr="001F2F9B" w:rsidRDefault="00CA1321" w:rsidP="004C232D">
      <w:pPr>
        <w:pStyle w:val="Listenabsatz"/>
        <w:numPr>
          <w:ilvl w:val="0"/>
          <w:numId w:val="6"/>
        </w:numPr>
        <w:spacing w:after="120"/>
        <w:contextualSpacing w:val="0"/>
      </w:pPr>
      <w:r w:rsidRPr="001F2F9B">
        <w:t>the Fire Protection Fund, excluding its operational and financial control</w:t>
      </w:r>
    </w:p>
    <w:p w:rsidR="00CA1321" w:rsidRPr="001F2F9B" w:rsidRDefault="00CA1321" w:rsidP="004C232D">
      <w:pPr>
        <w:pStyle w:val="Listenabsatz"/>
        <w:numPr>
          <w:ilvl w:val="0"/>
          <w:numId w:val="6"/>
        </w:numPr>
        <w:spacing w:after="120"/>
        <w:contextualSpacing w:val="0"/>
      </w:pPr>
      <w:r w:rsidRPr="001F2F9B">
        <w:t>international rescue operations</w:t>
      </w:r>
    </w:p>
    <w:p w:rsidR="00CA1321" w:rsidRPr="001F2F9B" w:rsidRDefault="00CA1321" w:rsidP="004C232D">
      <w:pPr>
        <w:pStyle w:val="Listenabsatz"/>
        <w:numPr>
          <w:ilvl w:val="0"/>
          <w:numId w:val="6"/>
        </w:numPr>
        <w:spacing w:after="120"/>
        <w:contextualSpacing w:val="0"/>
      </w:pPr>
      <w:r w:rsidRPr="001F2F9B">
        <w:t>contingency planning</w:t>
      </w:r>
    </w:p>
    <w:p w:rsidR="00CA1321" w:rsidRPr="001F2F9B" w:rsidRDefault="00CA1321" w:rsidP="004C232D">
      <w:pPr>
        <w:pStyle w:val="Listenabsatz"/>
        <w:numPr>
          <w:ilvl w:val="0"/>
          <w:numId w:val="6"/>
        </w:numPr>
        <w:spacing w:after="120"/>
        <w:contextualSpacing w:val="0"/>
      </w:pPr>
      <w:r w:rsidRPr="001F2F9B">
        <w:t>joint preparedness of regional authorities for emergency and abnormal conditions and the related central government duties</w:t>
      </w:r>
    </w:p>
    <w:p w:rsidR="00CA1321" w:rsidRPr="001F2F9B" w:rsidRDefault="00CA1321" w:rsidP="004C232D">
      <w:pPr>
        <w:pStyle w:val="Listenabsatz"/>
        <w:numPr>
          <w:ilvl w:val="0"/>
          <w:numId w:val="6"/>
        </w:numPr>
        <w:spacing w:after="120"/>
        <w:contextualSpacing w:val="0"/>
      </w:pPr>
      <w:r w:rsidRPr="001F2F9B">
        <w:t>Finland’s Public Authority Radio Network (VITRE)</w:t>
      </w:r>
    </w:p>
    <w:p w:rsidR="00CA1321" w:rsidRPr="001F2F9B" w:rsidRDefault="00CA1321" w:rsidP="004C232D">
      <w:pPr>
        <w:pStyle w:val="Listenabsatz"/>
        <w:numPr>
          <w:ilvl w:val="0"/>
          <w:numId w:val="6"/>
        </w:numPr>
        <w:spacing w:after="120"/>
        <w:contextualSpacing w:val="0"/>
      </w:pPr>
      <w:r w:rsidRPr="001F2F9B">
        <w:t>lifesaving medals</w:t>
      </w:r>
    </w:p>
    <w:p w:rsidR="00CA1321" w:rsidRPr="001F2F9B" w:rsidRDefault="00CA1321" w:rsidP="004C232D">
      <w:pPr>
        <w:pStyle w:val="Listenabsatz"/>
        <w:numPr>
          <w:ilvl w:val="0"/>
          <w:numId w:val="6"/>
        </w:numPr>
        <w:spacing w:after="120"/>
        <w:contextualSpacing w:val="0"/>
      </w:pPr>
      <w:r w:rsidRPr="001F2F9B">
        <w:t>the Finnish Red Cross</w:t>
      </w:r>
    </w:p>
    <w:p w:rsidR="00CA1321" w:rsidRPr="001F2F9B" w:rsidRDefault="00CA1321" w:rsidP="00CA1321">
      <w:pPr>
        <w:pStyle w:val="longerquotation"/>
        <w:rPr>
          <w:lang w:val="en-GB"/>
        </w:rPr>
      </w:pPr>
      <w:r w:rsidRPr="001F2F9B">
        <w:rPr>
          <w:lang w:val="en-GB"/>
        </w:rPr>
        <w:t>The Department deals with the following matters in cooperation with the Police Department: performance guidance, budget and setting up of working groups of the Emergency Response Centre Administration; any other matters important for the work of the Emergency Response Centre Administration.</w:t>
      </w:r>
    </w:p>
    <w:p w:rsidR="00CA1321" w:rsidRPr="001F2F9B" w:rsidRDefault="00CA1321" w:rsidP="00CA1321">
      <w:r w:rsidRPr="001F2F9B">
        <w:t xml:space="preserve">At regional level, Finland is divided into </w:t>
      </w:r>
      <w:r w:rsidRPr="001F2F9B">
        <w:rPr>
          <w:rStyle w:val="IntensiveHervorhebung"/>
        </w:rPr>
        <w:t>22 regional rescue services</w:t>
      </w:r>
      <w:r w:rsidRPr="001F2F9B">
        <w:t xml:space="preserve"> which manage operations in their respective regions (see Figure 4). Municipalities (at present 320 in total) are jointly responsible for the </w:t>
      </w:r>
      <w:r w:rsidRPr="001F2F9B">
        <w:rPr>
          <w:rStyle w:val="IntensiveHervorhebung"/>
        </w:rPr>
        <w:t>Rescue Services</w:t>
      </w:r>
      <w:r w:rsidRPr="001F2F9B">
        <w:t xml:space="preserve"> within designated regions and must have an agreement regarding the organisation within the region. Tasks of the rescue services consist primarily of firefighting, combating industrial disasters, and providing relief in case of traffic accidents, land-based oil spills and releases of hazardous material.</w:t>
      </w:r>
    </w:p>
    <w:p w:rsidR="00CA1321" w:rsidRPr="001F2F9B" w:rsidRDefault="00CA1321" w:rsidP="00CA1321">
      <w:r w:rsidRPr="001F2F9B">
        <w:t>To prevent fires and other incidents, rescue departments work together with other authorities and with local residents and communities (see also 3.2.1), and take part in local and regional safety planning (see also 4.1 and 4.2). Main authorities are:</w:t>
      </w:r>
    </w:p>
    <w:p w:rsidR="00CA1321" w:rsidRPr="001F2F9B" w:rsidRDefault="00CA1321" w:rsidP="004C232D">
      <w:pPr>
        <w:pStyle w:val="Listenabsatz"/>
        <w:numPr>
          <w:ilvl w:val="0"/>
          <w:numId w:val="6"/>
        </w:numPr>
        <w:spacing w:after="120"/>
        <w:contextualSpacing w:val="0"/>
      </w:pPr>
      <w:r w:rsidRPr="001F2F9B">
        <w:t xml:space="preserve">the </w:t>
      </w:r>
      <w:r w:rsidRPr="001F2F9B">
        <w:rPr>
          <w:rStyle w:val="IntensiveHervorhebung"/>
        </w:rPr>
        <w:t>police</w:t>
      </w:r>
    </w:p>
    <w:p w:rsidR="00CA1321" w:rsidRPr="001F2F9B" w:rsidRDefault="00CA1321" w:rsidP="004C232D">
      <w:pPr>
        <w:pStyle w:val="Listenabsatz"/>
        <w:numPr>
          <w:ilvl w:val="0"/>
          <w:numId w:val="6"/>
        </w:numPr>
        <w:spacing w:after="120"/>
        <w:contextualSpacing w:val="0"/>
      </w:pPr>
      <w:r w:rsidRPr="001F2F9B">
        <w:t xml:space="preserve">the </w:t>
      </w:r>
      <w:r w:rsidRPr="001F2F9B">
        <w:rPr>
          <w:rStyle w:val="IntensiveHervorhebung"/>
        </w:rPr>
        <w:t>Frontier/Border Guard</w:t>
      </w:r>
      <w:r w:rsidRPr="001F2F9B">
        <w:t xml:space="preserve"> - mainly when helicopters or other aircraft is needed, e.g. in cases of forest fires or other major accidents or for airborne ambulance services in isolated and/or remote areas (the Coast Guard is part of the Frontier Guard and takes the key role in open sea rescue interventions)</w:t>
      </w:r>
    </w:p>
    <w:p w:rsidR="00CA1321" w:rsidRPr="001F2F9B" w:rsidRDefault="00CA1321" w:rsidP="004C232D">
      <w:pPr>
        <w:pStyle w:val="Listenabsatz"/>
        <w:numPr>
          <w:ilvl w:val="0"/>
          <w:numId w:val="6"/>
        </w:numPr>
        <w:spacing w:after="120"/>
        <w:contextualSpacing w:val="0"/>
      </w:pPr>
      <w:r w:rsidRPr="001F2F9B">
        <w:t xml:space="preserve">the </w:t>
      </w:r>
      <w:r w:rsidRPr="001F2F9B">
        <w:rPr>
          <w:rStyle w:val="IntensiveHervorhebung"/>
        </w:rPr>
        <w:t>Defence Forces</w:t>
      </w:r>
      <w:r w:rsidRPr="001F2F9B">
        <w:t xml:space="preserve"> - providing equipment, manpower and special expert services necessary for rescue activities where this is deemed necessary with regard to the extent and special nature of the accident</w:t>
      </w:r>
    </w:p>
    <w:p w:rsidR="00CA1321" w:rsidRPr="001F2F9B" w:rsidRDefault="00CA1321" w:rsidP="004C232D">
      <w:pPr>
        <w:pStyle w:val="Listenabsatz"/>
        <w:numPr>
          <w:ilvl w:val="0"/>
          <w:numId w:val="6"/>
        </w:numPr>
        <w:spacing w:after="120"/>
        <w:contextualSpacing w:val="0"/>
      </w:pPr>
      <w:r w:rsidRPr="001F2F9B">
        <w:rPr>
          <w:rStyle w:val="IntensiveHervorhebung"/>
        </w:rPr>
        <w:t>social and health authorities</w:t>
      </w:r>
    </w:p>
    <w:p w:rsidR="00CA1321" w:rsidRPr="001F2F9B" w:rsidRDefault="00CA1321" w:rsidP="004C232D">
      <w:pPr>
        <w:pStyle w:val="Listenabsatz"/>
        <w:numPr>
          <w:ilvl w:val="0"/>
          <w:numId w:val="6"/>
        </w:numPr>
        <w:spacing w:after="120"/>
        <w:contextualSpacing w:val="0"/>
      </w:pPr>
      <w:r w:rsidRPr="001F2F9B">
        <w:t xml:space="preserve">authorities and institutions in charge </w:t>
      </w:r>
      <w:r w:rsidRPr="001F2F9B">
        <w:rPr>
          <w:rStyle w:val="IntensiveHervorhebung"/>
        </w:rPr>
        <w:t>of agriculture and forestry</w:t>
      </w:r>
      <w:r w:rsidRPr="001F2F9B">
        <w:t xml:space="preserve"> – e.g. the Forest and Park Service is liable to provide expert assistance in the fighting of forest fires</w:t>
      </w:r>
    </w:p>
    <w:p w:rsidR="00CA1321" w:rsidRPr="001F2F9B" w:rsidRDefault="00CA1321" w:rsidP="004C232D">
      <w:pPr>
        <w:pStyle w:val="Listenabsatz"/>
        <w:numPr>
          <w:ilvl w:val="0"/>
          <w:numId w:val="6"/>
        </w:numPr>
        <w:spacing w:after="120"/>
        <w:contextualSpacing w:val="0"/>
      </w:pPr>
      <w:r w:rsidRPr="001F2F9B">
        <w:rPr>
          <w:rStyle w:val="IntensiveHervorhebung"/>
        </w:rPr>
        <w:t>environmental</w:t>
      </w:r>
      <w:r w:rsidRPr="001F2F9B">
        <w:t xml:space="preserve"> authorities – e.g. provide rescue operators expertise concerning oil and other harmful material in case of spills or releases </w:t>
      </w:r>
      <w:r w:rsidRPr="001F2F9B">
        <w:rPr>
          <w:rStyle w:val="Hervorhebung"/>
        </w:rPr>
        <w:t xml:space="preserve">(environmental authorities from </w:t>
      </w:r>
      <w:r w:rsidRPr="001F2F9B">
        <w:rPr>
          <w:rStyle w:val="Hervorhebung"/>
        </w:rPr>
        <w:lastRenderedPageBreak/>
        <w:t xml:space="preserve">Ministry over the Finnish Environment Institute SYKE down to local authorities are heavily involved in disaster preparedness and prevention and thus play a </w:t>
      </w:r>
      <w:r w:rsidRPr="001F2F9B">
        <w:rPr>
          <w:rStyle w:val="IntensiveHervorhebung"/>
        </w:rPr>
        <w:t>key role</w:t>
      </w:r>
      <w:r w:rsidRPr="001F2F9B">
        <w:rPr>
          <w:rStyle w:val="Hervorhebung"/>
        </w:rPr>
        <w:t xml:space="preserve"> next to the rescue authorities)</w:t>
      </w:r>
    </w:p>
    <w:p w:rsidR="00CA1321" w:rsidRPr="001F2F9B" w:rsidRDefault="00CA1321" w:rsidP="004C232D">
      <w:pPr>
        <w:pStyle w:val="Listenabsatz"/>
        <w:numPr>
          <w:ilvl w:val="0"/>
          <w:numId w:val="6"/>
        </w:numPr>
        <w:spacing w:after="120"/>
        <w:contextualSpacing w:val="0"/>
      </w:pPr>
      <w:r w:rsidRPr="001F2F9B">
        <w:t xml:space="preserve">authorities in charge of </w:t>
      </w:r>
      <w:r w:rsidRPr="001F2F9B">
        <w:rPr>
          <w:rStyle w:val="IntensiveHervorhebung"/>
        </w:rPr>
        <w:t>passenger and goods transport and communications</w:t>
      </w:r>
    </w:p>
    <w:p w:rsidR="00CA1321" w:rsidRPr="001F2F9B" w:rsidRDefault="00CA1321" w:rsidP="004C232D">
      <w:pPr>
        <w:pStyle w:val="Listenabsatz"/>
        <w:numPr>
          <w:ilvl w:val="0"/>
          <w:numId w:val="6"/>
        </w:numPr>
        <w:spacing w:after="120"/>
        <w:contextualSpacing w:val="0"/>
      </w:pPr>
      <w:r w:rsidRPr="001F2F9B">
        <w:t xml:space="preserve">agencies and institutions in charge of </w:t>
      </w:r>
      <w:r w:rsidRPr="001F2F9B">
        <w:rPr>
          <w:rStyle w:val="IntensiveHervorhebung"/>
        </w:rPr>
        <w:t>radiation and nuclear safety</w:t>
      </w:r>
      <w:r w:rsidRPr="001F2F9B">
        <w:t xml:space="preserve"> and </w:t>
      </w:r>
      <w:r w:rsidRPr="001F2F9B">
        <w:rPr>
          <w:rStyle w:val="IntensiveHervorhebung"/>
        </w:rPr>
        <w:t>weather services</w:t>
      </w:r>
    </w:p>
    <w:p w:rsidR="00CA1321" w:rsidRPr="001F2F9B" w:rsidRDefault="00CA1321" w:rsidP="00CA1321">
      <w:r w:rsidRPr="001F2F9B">
        <w:rPr>
          <w:noProof/>
          <w:lang w:val="es-ES" w:eastAsia="es-ES"/>
        </w:rPr>
        <w:drawing>
          <wp:inline distT="0" distB="0" distL="0" distR="0" wp14:anchorId="3661EBE0" wp14:editId="65A2D0BB">
            <wp:extent cx="4210493" cy="5348177"/>
            <wp:effectExtent l="0" t="0" r="0" b="5080"/>
            <wp:docPr id="5164" name="Grafik 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lum contrast="10000"/>
                      <a:extLst>
                        <a:ext uri="{28A0092B-C50C-407E-A947-70E740481C1C}">
                          <a14:useLocalDpi xmlns:a14="http://schemas.microsoft.com/office/drawing/2010/main" val="0"/>
                        </a:ext>
                      </a:extLst>
                    </a:blip>
                    <a:srcRect t="8682" r="2156" b="1077"/>
                    <a:stretch/>
                  </pic:blipFill>
                  <pic:spPr bwMode="auto">
                    <a:xfrm>
                      <a:off x="0" y="0"/>
                      <a:ext cx="4220093" cy="5360372"/>
                    </a:xfrm>
                    <a:prstGeom prst="rect">
                      <a:avLst/>
                    </a:prstGeom>
                    <a:noFill/>
                    <a:ln>
                      <a:noFill/>
                    </a:ln>
                    <a:extLst>
                      <a:ext uri="{53640926-AAD7-44D8-BBD7-CCE9431645EC}">
                        <a14:shadowObscured xmlns:a14="http://schemas.microsoft.com/office/drawing/2010/main"/>
                      </a:ext>
                    </a:extLst>
                  </pic:spPr>
                </pic:pic>
              </a:graphicData>
            </a:graphic>
          </wp:inline>
        </w:drawing>
      </w:r>
    </w:p>
    <w:p w:rsidR="00CA1321" w:rsidRPr="001F2F9B" w:rsidRDefault="00CA1321" w:rsidP="00CA1321">
      <w:pPr>
        <w:pStyle w:val="Beschriftung"/>
        <w:spacing w:after="0"/>
        <w:jc w:val="left"/>
      </w:pPr>
      <w:bookmarkStart w:id="130" w:name="_Toc444089831"/>
      <w:r w:rsidRPr="001F2F9B">
        <w:t xml:space="preserve">Figure </w:t>
      </w:r>
      <w:r w:rsidRPr="001F2F9B">
        <w:fldChar w:fldCharType="begin"/>
      </w:r>
      <w:r w:rsidRPr="001F2F9B">
        <w:instrText xml:space="preserve"> SEQ Figure \* ARABIC </w:instrText>
      </w:r>
      <w:r w:rsidRPr="001F2F9B">
        <w:fldChar w:fldCharType="separate"/>
      </w:r>
      <w:r>
        <w:rPr>
          <w:noProof/>
        </w:rPr>
        <w:t>10</w:t>
      </w:r>
      <w:r w:rsidRPr="001F2F9B">
        <w:fldChar w:fldCharType="end"/>
      </w:r>
      <w:r w:rsidRPr="001F2F9B">
        <w:t>: The 22 Rescue Services Regions of Finland</w:t>
      </w:r>
      <w:bookmarkEnd w:id="130"/>
    </w:p>
    <w:p w:rsidR="00CA1321" w:rsidRPr="001F2F9B" w:rsidRDefault="00CA1321" w:rsidP="00CA1321">
      <w:pPr>
        <w:pStyle w:val="Beschriftung"/>
      </w:pPr>
      <w:r w:rsidRPr="001F2F9B">
        <w:t xml:space="preserve">Source: Ministry of the Interior - Department for Rescue Services - “Rescue services in Finland” </w:t>
      </w:r>
      <w:hyperlink r:id="rId18" w:history="1">
        <w:r w:rsidRPr="001F2F9B">
          <w:rPr>
            <w:rStyle w:val="Hyperlink"/>
          </w:rPr>
          <w:t>www.pelastustoimi.fi/</w:t>
        </w:r>
      </w:hyperlink>
      <w:r w:rsidRPr="001F2F9B">
        <w:t xml:space="preserve"> </w:t>
      </w:r>
    </w:p>
    <w:p w:rsidR="00CA1321" w:rsidRPr="001F2F9B" w:rsidRDefault="00CA1321" w:rsidP="00CA1321"/>
    <w:p w:rsidR="00CA1321" w:rsidRPr="001F2F9B" w:rsidRDefault="00CA1321" w:rsidP="00CA1321">
      <w:r w:rsidRPr="001F2F9B">
        <w:t xml:space="preserve">Voluntary, institutional, industrial and military </w:t>
      </w:r>
      <w:r w:rsidRPr="001F2F9B">
        <w:rPr>
          <w:rStyle w:val="IntensiveHervorhebung"/>
        </w:rPr>
        <w:t>fire brigades</w:t>
      </w:r>
      <w:r w:rsidRPr="001F2F9B">
        <w:t xml:space="preserve"> (contract fire brigades) also participate in performing rescue service duties as agreed between the brigades and the regional rescue services. </w:t>
      </w:r>
      <w:r w:rsidRPr="001F2F9B">
        <w:rPr>
          <w:rStyle w:val="IntensiveHervorhebung"/>
        </w:rPr>
        <w:t>Voluntary fire brigades</w:t>
      </w:r>
      <w:r w:rsidRPr="001F2F9B">
        <w:t xml:space="preserve"> (over 600 nationwide) play a significant role in the rescue services system. Organised in the form of private associations, they take part in operations according to an agreement with the permanent rescue service authority in the region. In some municipalities, the firefighting is entirely a voluntary fire brigade's task.</w:t>
      </w:r>
    </w:p>
    <w:p w:rsidR="00CA1321" w:rsidRPr="001F2F9B" w:rsidRDefault="00CA1321" w:rsidP="00CA1321">
      <w:r w:rsidRPr="001F2F9B">
        <w:lastRenderedPageBreak/>
        <w:t xml:space="preserve">The </w:t>
      </w:r>
      <w:r w:rsidRPr="001F2F9B">
        <w:rPr>
          <w:rStyle w:val="Hervorhebung"/>
        </w:rPr>
        <w:t>use of assistance provided by the Defence Forces</w:t>
      </w:r>
      <w:r w:rsidRPr="001F2F9B">
        <w:t>, as described above, is restricted by the Act on the Defence Forces 11.5.2007/551:</w:t>
      </w:r>
    </w:p>
    <w:p w:rsidR="00CA1321" w:rsidRPr="001F2F9B" w:rsidRDefault="00CA1321" w:rsidP="00CA1321">
      <w:pPr>
        <w:pStyle w:val="longerquotation"/>
        <w:rPr>
          <w:lang w:val="en-GB"/>
        </w:rPr>
      </w:pPr>
      <w:r w:rsidRPr="001F2F9B">
        <w:rPr>
          <w:lang w:val="en-GB"/>
        </w:rPr>
        <w:t>The Defence Forces may assist another Finnish authority in providing rescue or other assistance to another country in case of a terrorist attack, a natural disaster, a major accident or similar occurrence. The Defence Forces may assist by contributing equipment, material or expert assistance. Military force may not be used in providing such assistance.</w:t>
      </w:r>
    </w:p>
    <w:p w:rsidR="00CA1321" w:rsidRPr="001F2F9B" w:rsidRDefault="00CA1321" w:rsidP="00CA1321">
      <w:pPr>
        <w:pStyle w:val="longerquotation"/>
        <w:rPr>
          <w:lang w:val="en-GB"/>
        </w:rPr>
      </w:pPr>
      <w:r w:rsidRPr="001F2F9B">
        <w:rPr>
          <w:lang w:val="en-GB"/>
        </w:rPr>
        <w:t>The decision regarding the participation of the Defence Forces in an operation as described in subsection 1 above is taken by the Ministry of Defence at the request of the competent Ministry, after consulting the Ministry for Foreign Affairs.</w:t>
      </w:r>
    </w:p>
    <w:p w:rsidR="00CA1321" w:rsidRPr="001F2F9B" w:rsidRDefault="00CA1321" w:rsidP="00CA1321">
      <w:pPr>
        <w:pStyle w:val="longerquotation"/>
        <w:rPr>
          <w:lang w:val="en-GB"/>
        </w:rPr>
      </w:pPr>
      <w:r w:rsidRPr="001F2F9B">
        <w:rPr>
          <w:lang w:val="en-GB"/>
        </w:rPr>
        <w:t>If the project is extensive and an important principle is at stake, or if the significance of the matter otherwise requires, the decision regarding the participation of the Defence Forces in an operation as described in subsection 1 above is taken by the Government in general session. If the providing of such assistance is of major foreign policy importance, the decision is taken by the President of the Republic.</w:t>
      </w:r>
    </w:p>
    <w:p w:rsidR="00CA1321" w:rsidRPr="001F2F9B" w:rsidRDefault="00CA1321" w:rsidP="00CA1321">
      <w:pPr>
        <w:pStyle w:val="longerquotation"/>
        <w:rPr>
          <w:lang w:val="en-GB"/>
        </w:rPr>
      </w:pPr>
      <w:r w:rsidRPr="001F2F9B">
        <w:rPr>
          <w:lang w:val="en-GB"/>
        </w:rPr>
        <w:t>The Defence Forces may not be assigned to the duties referred to in subsection 1 without the decision-making procedure referred to in subsection 2 or 3, unless the authority of the Commander-in- Chief of the Defence Forces allows otherwise.</w:t>
      </w:r>
    </w:p>
    <w:p w:rsidR="00CA1321" w:rsidRPr="001F2F9B" w:rsidRDefault="00CA1321" w:rsidP="00CA1321"/>
    <w:p w:rsidR="00CA1321" w:rsidRPr="001F2F9B" w:rsidRDefault="00CA1321" w:rsidP="00CA1321">
      <w:r w:rsidRPr="001F2F9B">
        <w:t xml:space="preserve">Finland is divided in 15 </w:t>
      </w:r>
      <w:r w:rsidRPr="001F2F9B">
        <w:rPr>
          <w:rStyle w:val="IntensiveHervorhebung"/>
        </w:rPr>
        <w:t>Emergency Response Centre</w:t>
      </w:r>
      <w:r w:rsidRPr="001F2F9B">
        <w:t xml:space="preserve"> </w:t>
      </w:r>
      <w:r w:rsidRPr="001F2F9B">
        <w:rPr>
          <w:rStyle w:val="IntensiveHervorhebung"/>
        </w:rPr>
        <w:t xml:space="preserve">(ERC) </w:t>
      </w:r>
      <w:r w:rsidRPr="001F2F9B">
        <w:t xml:space="preserve">areas and all areas have their own ERC. The </w:t>
      </w:r>
      <w:r w:rsidRPr="001F2F9B">
        <w:rPr>
          <w:rStyle w:val="IntensiveHervorhebung"/>
        </w:rPr>
        <w:t>ERC Administration</w:t>
      </w:r>
      <w:r w:rsidRPr="001F2F9B">
        <w:t xml:space="preserve"> is directed and managed by the Ministry of Interior in cooperation with the Ministry of Social Affairs and Health. All emergency calls are made to one number, 112, and managed by ERC.</w:t>
      </w:r>
    </w:p>
    <w:p w:rsidR="00CA1321" w:rsidRPr="001F2F9B" w:rsidRDefault="00CA1321" w:rsidP="00CA1321">
      <w:r w:rsidRPr="001F2F9B">
        <w:rPr>
          <w:rStyle w:val="IntensiveHervorhebung"/>
        </w:rPr>
        <w:t>Rescue departments</w:t>
      </w:r>
      <w:r w:rsidRPr="001F2F9B">
        <w:t xml:space="preserve"> carry out the duties of rescue services in their respective rescue regions. They are supported by the Ministry of the Interior and represent the key actors to provide full coverage with rescue services at a defined level and to ensure that adequate tools and mechanisms for disaster risk management are in place. Regional rescue services are thus responsible for standards of service, appropriate organisation of the operations of the rescue departments as well as for other duties specified in the Rescue Act.</w:t>
      </w:r>
    </w:p>
    <w:p w:rsidR="00CA1321" w:rsidRPr="001F2F9B" w:rsidRDefault="00CA1321" w:rsidP="00CA1321">
      <w:r w:rsidRPr="001F2F9B">
        <w:t xml:space="preserve">Six regional </w:t>
      </w:r>
      <w:r w:rsidRPr="001F2F9B">
        <w:rPr>
          <w:rStyle w:val="IntensiveHervorhebung"/>
        </w:rPr>
        <w:t>State Administrative Agencies</w:t>
      </w:r>
      <w:r w:rsidRPr="001F2F9B">
        <w:t xml:space="preserve"> (</w:t>
      </w:r>
      <w:r w:rsidRPr="001F2F9B">
        <w:rPr>
          <w:rStyle w:val="IntensiveHervorhebung"/>
        </w:rPr>
        <w:t>AVI)</w:t>
      </w:r>
      <w:r w:rsidRPr="001F2F9B">
        <w:t xml:space="preserve"> (+ Åland) supervise and assess the coverage and quality of rescue services and preparedness. They guide and direct rescue services’ planning and coordinate plans in their respective regions. </w:t>
      </w:r>
    </w:p>
    <w:p w:rsidR="00CA1321" w:rsidRPr="001F2F9B" w:rsidRDefault="00CA1321" w:rsidP="00CA1321">
      <w:r w:rsidRPr="001F2F9B">
        <w:t xml:space="preserve">The State Administrative Agencies together with the </w:t>
      </w:r>
      <w:r w:rsidRPr="001F2F9B">
        <w:rPr>
          <w:rStyle w:val="IntensiveHervorhebung"/>
        </w:rPr>
        <w:t>Centres for Economic Development, Transport and the Environment Centres (ELY)</w:t>
      </w:r>
      <w:r w:rsidRPr="001F2F9B">
        <w:t xml:space="preserve"> play a central role in the preparedness of regional administration.</w:t>
      </w:r>
    </w:p>
    <w:p w:rsidR="00CA1321" w:rsidRPr="001F2F9B" w:rsidRDefault="00CA1321" w:rsidP="00CA1321">
      <w:r w:rsidRPr="001F2F9B">
        <w:t xml:space="preserve">As mentioned above, the environmental authorities are another key player in Finland`s disaster preparedness and response. For instance, the </w:t>
      </w:r>
      <w:r w:rsidRPr="001F2F9B">
        <w:rPr>
          <w:rStyle w:val="IntensiveHervorhebung"/>
        </w:rPr>
        <w:t>Finnish Environment Institute (SYKE)</w:t>
      </w:r>
      <w:r w:rsidRPr="001F2F9B">
        <w:t xml:space="preserve"> operates subordinate to the Ministry of the Environment. The Institute has research facilities and in combating chemical releases at sea it takes the general command over rescue units. Vessels utilised in these situations are mainly operated by the Frontier Guard, the Defence Forces or municipalities.</w:t>
      </w:r>
      <w:r w:rsidRPr="001F2F9B">
        <w:rPr>
          <w:rStyle w:val="Funotenzeichen"/>
        </w:rPr>
        <w:footnoteReference w:id="52"/>
      </w:r>
    </w:p>
    <w:p w:rsidR="00CA1321" w:rsidRPr="001F2F9B" w:rsidRDefault="00CA1321" w:rsidP="00CA1321">
      <w:r w:rsidRPr="001F2F9B">
        <w:lastRenderedPageBreak/>
        <w:t xml:space="preserve">Another example of a competent authority is the </w:t>
      </w:r>
      <w:r w:rsidRPr="001F2F9B">
        <w:rPr>
          <w:rStyle w:val="IntensiveHervorhebung"/>
        </w:rPr>
        <w:t>Radiation and Nuclear Safety Authority (STUK)</w:t>
      </w:r>
      <w:r w:rsidRPr="001F2F9B">
        <w:t xml:space="preserve">, which operates 288 stations continuously measuring radiation in the environment (see also 4.2). </w:t>
      </w:r>
    </w:p>
    <w:p w:rsidR="00CA1321" w:rsidRPr="001F2F9B" w:rsidRDefault="00CA1321" w:rsidP="00CA1321">
      <w:r w:rsidRPr="001F2F9B">
        <w:t xml:space="preserve">The </w:t>
      </w:r>
      <w:r w:rsidRPr="001F2F9B">
        <w:rPr>
          <w:rStyle w:val="IntensiveHervorhebung"/>
        </w:rPr>
        <w:t>Finnish Crisis Management Centre</w:t>
      </w:r>
      <w:r w:rsidRPr="001F2F9B">
        <w:t xml:space="preserve"> </w:t>
      </w:r>
      <w:r w:rsidRPr="001F2F9B">
        <w:rPr>
          <w:rStyle w:val="IntensiveHervorhebung"/>
        </w:rPr>
        <w:t>(CMC Finland)</w:t>
      </w:r>
      <w:r w:rsidRPr="001F2F9B">
        <w:t xml:space="preserve">, located in Kuopio, is a governmental institution and a centre of expertise in </w:t>
      </w:r>
      <w:r w:rsidRPr="001F2F9B">
        <w:rPr>
          <w:rStyle w:val="Hervorhebung"/>
        </w:rPr>
        <w:t xml:space="preserve">civilian </w:t>
      </w:r>
      <w:r w:rsidRPr="001F2F9B">
        <w:t>crisis management. Thus, it is not within the focus of this study, but worth mentioning. The main tasks of CMC Finland are to train and recruit experts for international civilian crisis management and peacebuilding missions as well as conduct research focusing on civilian crisis management. CMC Finland acts as a national head office for all seconded Finnish civilian crisis management professionals.</w:t>
      </w:r>
      <w:r w:rsidRPr="001F2F9B">
        <w:rPr>
          <w:rStyle w:val="Funotenzeichen"/>
        </w:rPr>
        <w:footnoteReference w:id="53"/>
      </w:r>
    </w:p>
    <w:p w:rsidR="00CA1321" w:rsidRPr="001F2F9B" w:rsidRDefault="00CA1321" w:rsidP="00CA1321"/>
    <w:p w:rsidR="00CA1321" w:rsidRPr="001F2F9B" w:rsidRDefault="00CA1321" w:rsidP="00CA1321">
      <w:pPr>
        <w:pStyle w:val="berschrift2"/>
        <w:ind w:left="576" w:hanging="576"/>
        <w:rPr>
          <w:rFonts w:cs="Times New Roman"/>
          <w:lang w:val="en-GB"/>
        </w:rPr>
      </w:pPr>
      <w:bookmarkStart w:id="131" w:name="_Toc444087641"/>
      <w:bookmarkStart w:id="132" w:name="_Toc444176214"/>
      <w:bookmarkStart w:id="133" w:name="_Toc445378537"/>
      <w:r w:rsidRPr="001F2F9B">
        <w:rPr>
          <w:lang w:val="en-GB"/>
        </w:rPr>
        <w:t>Organisational cooperation</w:t>
      </w:r>
      <w:bookmarkEnd w:id="131"/>
      <w:bookmarkEnd w:id="132"/>
      <w:bookmarkEnd w:id="133"/>
    </w:p>
    <w:p w:rsidR="00CA1321" w:rsidRPr="001F2F9B" w:rsidRDefault="00CA1321" w:rsidP="00CA1321">
      <w:pPr>
        <w:pStyle w:val="berschrift3"/>
        <w:ind w:left="1288"/>
        <w:rPr>
          <w:lang w:val="en-GB"/>
        </w:rPr>
      </w:pPr>
      <w:bookmarkStart w:id="134" w:name="_Toc444087642"/>
      <w:bookmarkStart w:id="135" w:name="_Toc444176215"/>
      <w:bookmarkStart w:id="136" w:name="_Toc445378538"/>
      <w:r w:rsidRPr="001F2F9B">
        <w:rPr>
          <w:lang w:val="en-GB"/>
        </w:rPr>
        <w:t>National Cooperation</w:t>
      </w:r>
      <w:bookmarkEnd w:id="134"/>
      <w:bookmarkEnd w:id="135"/>
      <w:bookmarkEnd w:id="136"/>
    </w:p>
    <w:p w:rsidR="00CA1321" w:rsidRPr="001F2F9B" w:rsidRDefault="00CA1321" w:rsidP="00CA1321">
      <w:r w:rsidRPr="001F2F9B">
        <w:t xml:space="preserve">All competent ministries have strong links and mechanisms for cooperation with local governments as well as key agencies and associations who support them in translating national policy into local and regional delivery. Resulting from the heavily decentralized system in correlation with the responsibility to cover all aspects relevant for disaster risk reduction in each competent authority, a lot of networks, specific agencies and sectoral cooperation exist at all levels including all sorts of stakeholders and actors as well as cross-border/bi- and multilateral international agreements (see 3.2), to fulfil the respective tasks within the authority’s mandate. </w:t>
      </w:r>
    </w:p>
    <w:p w:rsidR="00CA1321" w:rsidRPr="001F2F9B" w:rsidRDefault="00CA1321" w:rsidP="00CA1321">
      <w:r w:rsidRPr="001F2F9B">
        <w:t xml:space="preserve">For example, the </w:t>
      </w:r>
      <w:r w:rsidRPr="001F2F9B">
        <w:rPr>
          <w:rStyle w:val="IntensiveHervorhebung"/>
        </w:rPr>
        <w:t>Red Cross</w:t>
      </w:r>
      <w:r w:rsidRPr="001F2F9B">
        <w:t xml:space="preserve">, as a major </w:t>
      </w:r>
      <w:r w:rsidRPr="001F2F9B">
        <w:rPr>
          <w:rStyle w:val="Hervorhebung"/>
        </w:rPr>
        <w:t>non-governmental</w:t>
      </w:r>
      <w:r w:rsidRPr="001F2F9B">
        <w:t xml:space="preserve"> response organization, has an auxiliary response capacity and is well integrated in public preparedness planning. It coordinates 50 voluntary response organizations within the framework of a Voluntary Rescue Service network (Vapepa, see also 2.6). </w:t>
      </w:r>
    </w:p>
    <w:p w:rsidR="00CA1321" w:rsidRPr="001F2F9B" w:rsidRDefault="00CA1321" w:rsidP="00CA1321">
      <w:r w:rsidRPr="001F2F9B">
        <w:rPr>
          <w:rStyle w:val="Hervorhebung"/>
        </w:rPr>
        <w:t>Environment accident response</w:t>
      </w:r>
      <w:r w:rsidRPr="001F2F9B">
        <w:t xml:space="preserve"> is another example of cooperation between a wide range of authorities and actors. They include the Finnish Environment Institute; Centres for Economic Development, Transport and the Environment; municipalities; the Finnish Transport Safety Agency; the Finnish Navy; the Rescue Departments and the Finnish Border Guard. </w:t>
      </w:r>
    </w:p>
    <w:p w:rsidR="00CA1321" w:rsidRPr="001F2F9B" w:rsidRDefault="00CA1321" w:rsidP="00CA1321">
      <w:r w:rsidRPr="001F2F9B">
        <w:t xml:space="preserve">Businesses and organisations also participate, e.g. in </w:t>
      </w:r>
      <w:r w:rsidRPr="001F2F9B">
        <w:rPr>
          <w:rStyle w:val="Hervorhebung"/>
        </w:rPr>
        <w:t>oil-spill response</w:t>
      </w:r>
      <w:r w:rsidRPr="001F2F9B">
        <w:t xml:space="preserve"> at sea; the increase in marine traffic in the Baltic Sea is leading to an increased risk of oils spills. The Ministry of the Environment is responsible for general guidance and monitoring with regard to prevention of and response to oil spills and chemical spills at sea and land. SYKE, the Institute for Enviroment, is responsible for the prevention of and response to oil spills from ships whereas regional rescue services are responsible for the prevention of and response to land-based oil spills.</w:t>
      </w:r>
      <w:r w:rsidRPr="001F2F9B">
        <w:rPr>
          <w:rStyle w:val="Funotenzeichen"/>
        </w:rPr>
        <w:footnoteReference w:id="54"/>
      </w:r>
    </w:p>
    <w:p w:rsidR="00CA1321" w:rsidRPr="001F2F9B" w:rsidRDefault="00CA1321" w:rsidP="00CA1321">
      <w:pPr>
        <w:tabs>
          <w:tab w:val="left" w:pos="4536"/>
        </w:tabs>
      </w:pPr>
      <w:r w:rsidRPr="001F2F9B">
        <w:t xml:space="preserve">As mentioned under 2.4, the </w:t>
      </w:r>
      <w:r w:rsidRPr="001F2F9B">
        <w:rPr>
          <w:rStyle w:val="IntensiveHervorhebung"/>
        </w:rPr>
        <w:t>National Emergency Supply Agency (NESA)</w:t>
      </w:r>
      <w:r w:rsidRPr="001F2F9B">
        <w:t xml:space="preserve"> has been created, with the task to promote and co-ordinate the preparedness of the authorities to steer the country’s economy for crisis situations and serious disturbances, thus securing the critical infrastructure and production activities of society, as requested by the Security of Supply Act and the Security Strategy for Society. </w:t>
      </w:r>
    </w:p>
    <w:p w:rsidR="00CA1321" w:rsidRPr="001F2F9B" w:rsidRDefault="00CA1321" w:rsidP="00CA1321">
      <w:pPr>
        <w:tabs>
          <w:tab w:val="left" w:pos="4536"/>
        </w:tabs>
      </w:pPr>
      <w:r w:rsidRPr="001F2F9B">
        <w:lastRenderedPageBreak/>
        <w:t>This has resulted in a Public-Private Partnership in Security of Supply (see Figure 4).</w:t>
      </w:r>
    </w:p>
    <w:p w:rsidR="00CA1321" w:rsidRPr="001F2F9B" w:rsidRDefault="00CA1321" w:rsidP="00CA1321">
      <w:pPr>
        <w:tabs>
          <w:tab w:val="left" w:pos="4536"/>
        </w:tabs>
      </w:pPr>
    </w:p>
    <w:p w:rsidR="00CA1321" w:rsidRPr="001F2F9B" w:rsidRDefault="00CA1321" w:rsidP="00CA1321">
      <w:pPr>
        <w:tabs>
          <w:tab w:val="left" w:pos="4536"/>
        </w:tabs>
      </w:pPr>
    </w:p>
    <w:p w:rsidR="00CA1321" w:rsidRPr="001F2F9B" w:rsidRDefault="00CA1321" w:rsidP="00CA1321">
      <w:pPr>
        <w:tabs>
          <w:tab w:val="left" w:pos="4536"/>
        </w:tabs>
      </w:pPr>
      <w:r w:rsidRPr="001F2F9B">
        <w:rPr>
          <w:noProof/>
          <w:lang w:val="es-ES" w:eastAsia="es-ES"/>
        </w:rPr>
        <w:drawing>
          <wp:inline distT="0" distB="0" distL="0" distR="0" wp14:anchorId="322E8667" wp14:editId="3DE6E98C">
            <wp:extent cx="6167192" cy="3912781"/>
            <wp:effectExtent l="0" t="0" r="5080" b="0"/>
            <wp:docPr id="5165" name="Grafik 5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lum contrast="10000"/>
                      <a:extLst>
                        <a:ext uri="{28A0092B-C50C-407E-A947-70E740481C1C}">
                          <a14:useLocalDpi xmlns:a14="http://schemas.microsoft.com/office/drawing/2010/main" val="0"/>
                        </a:ext>
                      </a:extLst>
                    </a:blip>
                    <a:srcRect l="1992" r="1495" b="1340"/>
                    <a:stretch/>
                  </pic:blipFill>
                  <pic:spPr bwMode="auto">
                    <a:xfrm>
                      <a:off x="0" y="0"/>
                      <a:ext cx="6191538" cy="3928227"/>
                    </a:xfrm>
                    <a:prstGeom prst="rect">
                      <a:avLst/>
                    </a:prstGeom>
                    <a:noFill/>
                    <a:ln>
                      <a:noFill/>
                    </a:ln>
                    <a:extLst>
                      <a:ext uri="{53640926-AAD7-44D8-BBD7-CCE9431645EC}">
                        <a14:shadowObscured xmlns:a14="http://schemas.microsoft.com/office/drawing/2010/main"/>
                      </a:ext>
                    </a:extLst>
                  </pic:spPr>
                </pic:pic>
              </a:graphicData>
            </a:graphic>
          </wp:inline>
        </w:drawing>
      </w:r>
    </w:p>
    <w:p w:rsidR="00CA1321" w:rsidRPr="001F2F9B" w:rsidRDefault="00CA1321" w:rsidP="00CA1321">
      <w:pPr>
        <w:pStyle w:val="Beschriftung"/>
        <w:spacing w:after="0"/>
        <w:jc w:val="left"/>
      </w:pPr>
      <w:bookmarkStart w:id="137" w:name="_Toc444089832"/>
      <w:r w:rsidRPr="001F2F9B">
        <w:t xml:space="preserve">Figure </w:t>
      </w:r>
      <w:r w:rsidRPr="001F2F9B">
        <w:fldChar w:fldCharType="begin"/>
      </w:r>
      <w:r w:rsidRPr="001F2F9B">
        <w:instrText xml:space="preserve"> SEQ Figure \* ARABIC </w:instrText>
      </w:r>
      <w:r w:rsidRPr="001F2F9B">
        <w:fldChar w:fldCharType="separate"/>
      </w:r>
      <w:r>
        <w:rPr>
          <w:noProof/>
        </w:rPr>
        <w:t>11</w:t>
      </w:r>
      <w:r w:rsidRPr="001F2F9B">
        <w:fldChar w:fldCharType="end"/>
      </w:r>
      <w:r w:rsidRPr="001F2F9B">
        <w:t>: Public-Private Partnership in Security of Supply</w:t>
      </w:r>
      <w:bookmarkEnd w:id="137"/>
    </w:p>
    <w:p w:rsidR="00CA1321" w:rsidRPr="001F2F9B" w:rsidRDefault="00CA1321" w:rsidP="00CA1321">
      <w:pPr>
        <w:pStyle w:val="Beschriftung"/>
        <w:jc w:val="left"/>
      </w:pPr>
      <w:r w:rsidRPr="001F2F9B">
        <w:t>Source: Ministry of the Interior: National Platform for Disaster Risk Reduction. Ministry of the Interior publication 14/2012.</w:t>
      </w:r>
    </w:p>
    <w:p w:rsidR="00CA1321" w:rsidRPr="001F2F9B" w:rsidRDefault="00CA1321" w:rsidP="00CA1321"/>
    <w:p w:rsidR="00CA1321" w:rsidRPr="001F2F9B" w:rsidRDefault="00CA1321" w:rsidP="00CA1321">
      <w:r w:rsidRPr="001F2F9B">
        <w:t>Public opinion polls show that 99 per cent of all Finnish citizens trust the rescue services and evaluate their work positively. As mentioned earlier, the Government has furthermore set an ambition to make the Finnish rescue services the most effective in Europe and is currently planning a reform to improve their cost-effectiveness.</w:t>
      </w:r>
    </w:p>
    <w:p w:rsidR="00CA1321" w:rsidRPr="001F2F9B" w:rsidRDefault="00CA1321" w:rsidP="00CA1321">
      <w:pPr>
        <w:tabs>
          <w:tab w:val="left" w:pos="4536"/>
        </w:tabs>
      </w:pPr>
    </w:p>
    <w:p w:rsidR="00CA1321" w:rsidRPr="001F2F9B" w:rsidRDefault="00CA1321" w:rsidP="00CA1321">
      <w:pPr>
        <w:pStyle w:val="berschrift3"/>
        <w:ind w:left="1288"/>
        <w:rPr>
          <w:lang w:val="en-GB"/>
        </w:rPr>
      </w:pPr>
      <w:bookmarkStart w:id="138" w:name="_Toc444087643"/>
      <w:bookmarkStart w:id="139" w:name="_Toc444176216"/>
      <w:bookmarkStart w:id="140" w:name="_Toc445378539"/>
      <w:r w:rsidRPr="001F2F9B">
        <w:rPr>
          <w:lang w:val="en-GB"/>
        </w:rPr>
        <w:t>International Cooperation</w:t>
      </w:r>
      <w:bookmarkEnd w:id="138"/>
      <w:bookmarkEnd w:id="139"/>
      <w:bookmarkEnd w:id="140"/>
    </w:p>
    <w:p w:rsidR="00CA1321" w:rsidRPr="001F2F9B" w:rsidRDefault="00CA1321" w:rsidP="00CA1321">
      <w:pPr>
        <w:tabs>
          <w:tab w:val="left" w:pos="4536"/>
        </w:tabs>
      </w:pPr>
      <w:r w:rsidRPr="001F2F9B">
        <w:t>The Country Study on Finland within the ANVIL project</w:t>
      </w:r>
      <w:r w:rsidRPr="001F2F9B">
        <w:rPr>
          <w:rStyle w:val="Funotenzeichen"/>
        </w:rPr>
        <w:footnoteReference w:id="55"/>
      </w:r>
      <w:r w:rsidRPr="001F2F9B">
        <w:t xml:space="preserve"> summarizes international cooperation as followed:</w:t>
      </w:r>
    </w:p>
    <w:p w:rsidR="00CA1321" w:rsidRPr="001F2F9B" w:rsidRDefault="00CA1321" w:rsidP="00CA1321">
      <w:pPr>
        <w:pStyle w:val="longerquotation"/>
        <w:rPr>
          <w:lang w:val="en-GB"/>
        </w:rPr>
      </w:pPr>
      <w:r w:rsidRPr="001F2F9B">
        <w:rPr>
          <w:lang w:val="en-GB"/>
        </w:rPr>
        <w:t xml:space="preserve">Up to now, Finland has not officially requested disaster assistance through regional and international arrangements. Nonetheless, Finland has entered into multiple bilateral agreements on mutual crisis management assistance which cover all neighbouring countries. In addition, Finland has signed related regional and multilateral provisions of the Council of Europe, the EU, </w:t>
      </w:r>
      <w:r w:rsidRPr="001F2F9B">
        <w:rPr>
          <w:lang w:val="en-GB"/>
        </w:rPr>
        <w:lastRenderedPageBreak/>
        <w:t>NATO, the OSCE and the UN. On the regional level, Finland has signed provisions of the Council of the Baltic Sea States (CBSS), the Nordic Council of Ministers (NCM), the Baltic Development Forum and the Baltic Sea States Subregional Cooperation (BSSSC).</w:t>
      </w:r>
    </w:p>
    <w:p w:rsidR="00CA1321" w:rsidRPr="001F2F9B" w:rsidRDefault="00CA1321" w:rsidP="00CA1321">
      <w:pPr>
        <w:pStyle w:val="longerquotation"/>
        <w:rPr>
          <w:lang w:val="en-GB"/>
        </w:rPr>
      </w:pPr>
      <w:r w:rsidRPr="001F2F9B">
        <w:rPr>
          <w:lang w:val="en-GB"/>
        </w:rPr>
        <w:t>Finland takes part in international relief and rescue operations mainly under agreements signed with its neighbouring countries as well as through the European Union Civil Protection Mechanism (Monitoring and Information Centre, MIC) and on assignments from the United Nations Office for the Coordination of Humanitarian Affairs (OCHA). Finland takes part actively in developing crisis preparedness under NATO´s Partnership for Peace programme. Finnish assistance has taken place through the UN´s UNDAC team (United Nations Disaster Assessment and Coordination Stand-By Team), or in the EU/MIC team of experts. Since 1993, Finland has maintained the FRF (Finnish Rescue Force) which is a 200 person task force for search and rescue missions in international assignments. A typical FRF team comprises 40 people and their equipment with a capacity of two weeks´ self-sustaining operation in a disaster area.</w:t>
      </w:r>
    </w:p>
    <w:p w:rsidR="00CA1321" w:rsidRPr="001F2F9B" w:rsidRDefault="00CA1321" w:rsidP="00CA1321">
      <w:pPr>
        <w:pStyle w:val="longerquotation"/>
        <w:rPr>
          <w:lang w:val="en-GB"/>
        </w:rPr>
      </w:pPr>
      <w:r w:rsidRPr="001F2F9B">
        <w:rPr>
          <w:lang w:val="en-GB"/>
        </w:rPr>
        <w:t>Finland has been relatively careful in offering assistance and aid in civil security crises; a recent example of the Russian forest fires in 2010 showed the traditional careful consideration and respect of formal state agreements and hierarchical proceedings in providing help. The decision to provide assistance overseas is made by the Ministry of Interior at the request of another state or an international organisation. Capacity building, training and other practical tasks for international missions are ensured by the Crisis Management Centre (CMC) in Kuopio. Once a decision is made to provide assistance, the members of the task-force will be recruited among regional rescue services staff trained for international missions.</w:t>
      </w:r>
    </w:p>
    <w:p w:rsidR="00CA1321" w:rsidRPr="001F2F9B" w:rsidRDefault="00CA1321" w:rsidP="00CA1321">
      <w:pPr>
        <w:tabs>
          <w:tab w:val="left" w:pos="4536"/>
        </w:tabs>
      </w:pPr>
      <w:r w:rsidRPr="001F2F9B">
        <w:t>Rescue operations may include firefighting, searches, rescue, first aid, clean-up of oil and chemical spills, damage assessment and water rescue missions. Assistance may also include helping the population on site or evacuating the population, in which case leadership, electricity and power generation, cleaning and supplying water and arranging temporary accommodation may be involved.</w:t>
      </w:r>
      <w:r w:rsidRPr="001F2F9B">
        <w:rPr>
          <w:rStyle w:val="Funotenzeichen"/>
        </w:rPr>
        <w:footnoteReference w:id="56"/>
      </w:r>
      <w:r w:rsidRPr="001F2F9B">
        <w:t xml:space="preserve"> Thus, Finland contribute civilian resources—civil protection assets and UN Disaster Assessment and Coordination (UNDAC) personnel—or make cash contributions to humanitarian agencies. Finland does not contribute </w:t>
      </w:r>
      <w:r w:rsidRPr="001F2F9B">
        <w:rPr>
          <w:rStyle w:val="Hervorhebung"/>
        </w:rPr>
        <w:t>military assets</w:t>
      </w:r>
      <w:r w:rsidRPr="001F2F9B">
        <w:t xml:space="preserve"> to disaster responses</w:t>
      </w:r>
      <w:r w:rsidRPr="001F2F9B">
        <w:rPr>
          <w:rStyle w:val="Funotenzeichen"/>
        </w:rPr>
        <w:footnoteReference w:id="57"/>
      </w:r>
      <w:r w:rsidRPr="001F2F9B">
        <w:t>, but has as strong focus on developing niche capabilities of Defence Forces with regard to international assistance in military and civilian crisis management.</w:t>
      </w:r>
      <w:r w:rsidRPr="001F2F9B">
        <w:rPr>
          <w:rStyle w:val="Funotenzeichen"/>
        </w:rPr>
        <w:footnoteReference w:id="58"/>
      </w:r>
    </w:p>
    <w:p w:rsidR="00CA1321" w:rsidRPr="001F2F9B" w:rsidRDefault="00CA1321" w:rsidP="00CA1321">
      <w:r w:rsidRPr="001F2F9B">
        <w:t>Regarding regional cooperation and bilateral treaties, the Finnish Red Cross’s report on legal preparedness for international disaster response 2014 states:</w:t>
      </w:r>
    </w:p>
    <w:p w:rsidR="00CA1321" w:rsidRPr="001F2F9B" w:rsidRDefault="00CA1321" w:rsidP="00CA1321">
      <w:pPr>
        <w:pStyle w:val="longerquotation"/>
        <w:rPr>
          <w:sz w:val="12"/>
          <w:szCs w:val="12"/>
          <w:lang w:val="en-GB"/>
        </w:rPr>
      </w:pPr>
      <w:r w:rsidRPr="001F2F9B">
        <w:rPr>
          <w:lang w:val="en-GB"/>
        </w:rPr>
        <w:t>Finland participates in regional collaboration through various cooperation bodies and local and bilateral agreements. The regional divisions related to the agreements and cooperation bodies are not necessarily consistent, and the system of agreements is not hierarchical. The most relevant agreement is usually applied to rescue services and international aid.</w:t>
      </w:r>
    </w:p>
    <w:p w:rsidR="00CA1321" w:rsidRPr="001F2F9B" w:rsidRDefault="00CA1321" w:rsidP="00CA1321">
      <w:pPr>
        <w:pStyle w:val="longerquotation"/>
        <w:rPr>
          <w:lang w:val="en-GB"/>
        </w:rPr>
      </w:pPr>
      <w:r w:rsidRPr="001F2F9B">
        <w:rPr>
          <w:lang w:val="en-GB"/>
        </w:rPr>
        <w:lastRenderedPageBreak/>
        <w:t>International obligations are usually implemented by law and/or a Government Decree.</w:t>
      </w:r>
      <w:r w:rsidRPr="001F2F9B">
        <w:rPr>
          <w:sz w:val="12"/>
          <w:szCs w:val="12"/>
          <w:lang w:val="en-GB"/>
        </w:rPr>
        <w:t xml:space="preserve"> </w:t>
      </w:r>
      <w:r w:rsidRPr="001F2F9B">
        <w:rPr>
          <w:lang w:val="en-GB"/>
        </w:rPr>
        <w:t>If regulations contain provisions of a legislative nature they are implemented in accordance with Section 94 of the Constitution of Finland.</w:t>
      </w:r>
    </w:p>
    <w:p w:rsidR="00CA1321" w:rsidRPr="001F2F9B" w:rsidRDefault="00CA1321" w:rsidP="00CA1321">
      <w:pPr>
        <w:tabs>
          <w:tab w:val="left" w:pos="4536"/>
        </w:tabs>
      </w:pPr>
      <w:r w:rsidRPr="001F2F9B">
        <w:t>For regional agreements, the report lists</w:t>
      </w:r>
      <w:r w:rsidRPr="001F2F9B">
        <w:rPr>
          <w:rStyle w:val="Funotenzeichen"/>
        </w:rPr>
        <w:footnoteReference w:id="59"/>
      </w:r>
      <w:r w:rsidRPr="001F2F9B">
        <w:t>:</w:t>
      </w:r>
    </w:p>
    <w:p w:rsidR="00CA1321" w:rsidRPr="001F2F9B" w:rsidRDefault="00CA1321" w:rsidP="004C232D">
      <w:pPr>
        <w:pStyle w:val="Listenabsatz"/>
        <w:numPr>
          <w:ilvl w:val="0"/>
          <w:numId w:val="4"/>
        </w:numPr>
        <w:spacing w:after="120"/>
        <w:contextualSpacing w:val="0"/>
      </w:pPr>
      <w:r w:rsidRPr="001F2F9B">
        <w:t>Nordic agreements</w:t>
      </w:r>
    </w:p>
    <w:p w:rsidR="00CA1321" w:rsidRPr="001F2F9B" w:rsidRDefault="00CA1321" w:rsidP="004C232D">
      <w:pPr>
        <w:pStyle w:val="Listenabsatz"/>
        <w:numPr>
          <w:ilvl w:val="1"/>
          <w:numId w:val="4"/>
        </w:numPr>
        <w:spacing w:after="120"/>
        <w:contextualSpacing w:val="0"/>
      </w:pPr>
      <w:r w:rsidRPr="001F2F9B">
        <w:t>Nordic agreement on rescue services (NORDRED)</w:t>
      </w:r>
    </w:p>
    <w:p w:rsidR="00CA1321" w:rsidRPr="001F2F9B" w:rsidRDefault="00CA1321" w:rsidP="004C232D">
      <w:pPr>
        <w:pStyle w:val="Listenabsatz"/>
        <w:numPr>
          <w:ilvl w:val="1"/>
          <w:numId w:val="4"/>
        </w:numPr>
        <w:spacing w:after="120"/>
        <w:contextualSpacing w:val="0"/>
      </w:pPr>
      <w:r w:rsidRPr="001F2F9B">
        <w:t>Nordic Framework Convention on Health Care (NORDHELS)</w:t>
      </w:r>
    </w:p>
    <w:p w:rsidR="00CA1321" w:rsidRPr="001F2F9B" w:rsidRDefault="00CA1321" w:rsidP="004C232D">
      <w:pPr>
        <w:pStyle w:val="Listenabsatz"/>
        <w:numPr>
          <w:ilvl w:val="0"/>
          <w:numId w:val="4"/>
        </w:numPr>
        <w:spacing w:after="120"/>
        <w:contextualSpacing w:val="0"/>
      </w:pPr>
      <w:r w:rsidRPr="001F2F9B">
        <w:t>Barents Treaty</w:t>
      </w:r>
    </w:p>
    <w:p w:rsidR="00CA1321" w:rsidRPr="001F2F9B" w:rsidRDefault="00CA1321" w:rsidP="004C232D">
      <w:pPr>
        <w:pStyle w:val="Listenabsatz"/>
        <w:numPr>
          <w:ilvl w:val="0"/>
          <w:numId w:val="4"/>
        </w:numPr>
        <w:spacing w:after="120"/>
        <w:contextualSpacing w:val="0"/>
      </w:pPr>
      <w:r w:rsidRPr="001F2F9B">
        <w:t>Agreement on cooperation on aeronautical and maritime search and rescue in the Arctic</w:t>
      </w:r>
    </w:p>
    <w:p w:rsidR="00CA1321" w:rsidRPr="001F2F9B" w:rsidRDefault="00CA1321" w:rsidP="004C232D">
      <w:pPr>
        <w:pStyle w:val="Listenabsatz"/>
        <w:numPr>
          <w:ilvl w:val="0"/>
          <w:numId w:val="4"/>
        </w:numPr>
        <w:spacing w:after="120"/>
        <w:contextualSpacing w:val="0"/>
      </w:pPr>
      <w:r w:rsidRPr="001F2F9B">
        <w:t>bilateral agreements between municipalities of Norway and Sweden based on the NORDRED agreement with regard to intermunicipal cooperation (agreements are based on the principle of reciprocal services and operations)</w:t>
      </w:r>
    </w:p>
    <w:p w:rsidR="00CA1321" w:rsidRPr="001F2F9B" w:rsidRDefault="00CA1321" w:rsidP="004C232D">
      <w:pPr>
        <w:pStyle w:val="Listenabsatz"/>
        <w:numPr>
          <w:ilvl w:val="0"/>
          <w:numId w:val="4"/>
        </w:numPr>
        <w:spacing w:after="120"/>
        <w:contextualSpacing w:val="0"/>
      </w:pPr>
      <w:r w:rsidRPr="001F2F9B">
        <w:t>possible agreements of authorities on assistance, costs and cooperation with the Russian authorities, based on the Barents Treaty</w:t>
      </w:r>
    </w:p>
    <w:p w:rsidR="00CA1321" w:rsidRPr="001F2F9B" w:rsidRDefault="00CA1321" w:rsidP="00CA1321">
      <w:r w:rsidRPr="001F2F9B">
        <w:t>For bi-lateral (national) agreements (additional to the above mentioned multilateral agreements):</w:t>
      </w:r>
    </w:p>
    <w:p w:rsidR="00CA1321" w:rsidRPr="001F2F9B" w:rsidRDefault="00CA1321" w:rsidP="004C232D">
      <w:pPr>
        <w:pStyle w:val="Listenabsatz"/>
        <w:numPr>
          <w:ilvl w:val="0"/>
          <w:numId w:val="5"/>
        </w:numPr>
        <w:spacing w:after="120"/>
        <w:contextualSpacing w:val="0"/>
      </w:pPr>
      <w:r w:rsidRPr="001F2F9B">
        <w:t>Russia</w:t>
      </w:r>
    </w:p>
    <w:p w:rsidR="00CA1321" w:rsidRPr="001F2F9B" w:rsidRDefault="00CA1321" w:rsidP="004C232D">
      <w:pPr>
        <w:pStyle w:val="Listenabsatz"/>
        <w:numPr>
          <w:ilvl w:val="1"/>
          <w:numId w:val="5"/>
        </w:numPr>
        <w:spacing w:after="120"/>
        <w:contextualSpacing w:val="0"/>
      </w:pPr>
      <w:r w:rsidRPr="001F2F9B">
        <w:t>Cooperation in sea and air rescue</w:t>
      </w:r>
    </w:p>
    <w:p w:rsidR="00CA1321" w:rsidRPr="001F2F9B" w:rsidRDefault="00CA1321" w:rsidP="004C232D">
      <w:pPr>
        <w:pStyle w:val="Listenabsatz"/>
        <w:numPr>
          <w:ilvl w:val="1"/>
          <w:numId w:val="5"/>
        </w:numPr>
        <w:spacing w:after="120"/>
        <w:contextualSpacing w:val="0"/>
      </w:pPr>
      <w:r w:rsidRPr="001F2F9B">
        <w:t>Agreement on cooperation for the prevention of accidents and their consequences</w:t>
      </w:r>
    </w:p>
    <w:p w:rsidR="00CA1321" w:rsidRPr="001F2F9B" w:rsidRDefault="00CA1321" w:rsidP="004C232D">
      <w:pPr>
        <w:pStyle w:val="Listenabsatz"/>
        <w:numPr>
          <w:ilvl w:val="0"/>
          <w:numId w:val="5"/>
        </w:numPr>
        <w:spacing w:after="120"/>
        <w:contextualSpacing w:val="0"/>
      </w:pPr>
      <w:r w:rsidRPr="001F2F9B">
        <w:t>Sweden</w:t>
      </w:r>
    </w:p>
    <w:p w:rsidR="00CA1321" w:rsidRPr="001F2F9B" w:rsidRDefault="00CA1321" w:rsidP="004C232D">
      <w:pPr>
        <w:pStyle w:val="Listenabsatz"/>
        <w:numPr>
          <w:ilvl w:val="1"/>
          <w:numId w:val="5"/>
        </w:numPr>
        <w:spacing w:after="120"/>
        <w:contextualSpacing w:val="0"/>
      </w:pPr>
      <w:r w:rsidRPr="001F2F9B">
        <w:t>Agreement on cooperation in maritime and aeronautical rescue services</w:t>
      </w:r>
    </w:p>
    <w:p w:rsidR="00CA1321" w:rsidRPr="001F2F9B" w:rsidRDefault="00CA1321" w:rsidP="004C232D">
      <w:pPr>
        <w:pStyle w:val="Listenabsatz"/>
        <w:numPr>
          <w:ilvl w:val="0"/>
          <w:numId w:val="5"/>
        </w:numPr>
        <w:spacing w:after="120"/>
        <w:contextualSpacing w:val="0"/>
      </w:pPr>
      <w:r w:rsidRPr="001F2F9B">
        <w:t>Norway</w:t>
      </w:r>
    </w:p>
    <w:p w:rsidR="00CA1321" w:rsidRPr="001F2F9B" w:rsidRDefault="00CA1321" w:rsidP="004C232D">
      <w:pPr>
        <w:pStyle w:val="Listenabsatz"/>
        <w:numPr>
          <w:ilvl w:val="1"/>
          <w:numId w:val="5"/>
        </w:numPr>
        <w:spacing w:after="120"/>
        <w:contextualSpacing w:val="0"/>
      </w:pPr>
      <w:r w:rsidRPr="001F2F9B">
        <w:t>Agreement on cooperation regarding search and rescue services in border areas</w:t>
      </w:r>
    </w:p>
    <w:p w:rsidR="00CA1321" w:rsidRPr="001F2F9B" w:rsidRDefault="00CA1321" w:rsidP="004C232D">
      <w:pPr>
        <w:pStyle w:val="Listenabsatz"/>
        <w:numPr>
          <w:ilvl w:val="0"/>
          <w:numId w:val="5"/>
        </w:numPr>
        <w:spacing w:after="120"/>
        <w:contextualSpacing w:val="0"/>
      </w:pPr>
      <w:r w:rsidRPr="001F2F9B">
        <w:t>Estonia</w:t>
      </w:r>
    </w:p>
    <w:p w:rsidR="00CA1321" w:rsidRPr="001F2F9B" w:rsidRDefault="00CA1321" w:rsidP="004C232D">
      <w:pPr>
        <w:pStyle w:val="Listenabsatz"/>
        <w:numPr>
          <w:ilvl w:val="1"/>
          <w:numId w:val="5"/>
        </w:numPr>
        <w:spacing w:after="120"/>
        <w:contextualSpacing w:val="0"/>
      </w:pPr>
      <w:r w:rsidRPr="001F2F9B">
        <w:t>Agreement on cooperation and mutual assistance in cases of accidents</w:t>
      </w:r>
    </w:p>
    <w:p w:rsidR="00CA1321" w:rsidRPr="001F2F9B" w:rsidRDefault="00CA1321" w:rsidP="004C232D">
      <w:pPr>
        <w:pStyle w:val="Listenabsatz"/>
        <w:numPr>
          <w:ilvl w:val="1"/>
          <w:numId w:val="5"/>
        </w:numPr>
        <w:spacing w:after="120"/>
        <w:contextualSpacing w:val="0"/>
      </w:pPr>
      <w:r w:rsidRPr="001F2F9B">
        <w:t>Agreement concerning cooperation on maritime and aeronautical search and rescue</w:t>
      </w:r>
    </w:p>
    <w:p w:rsidR="00CA1321" w:rsidRPr="001F2F9B" w:rsidRDefault="00CA1321" w:rsidP="00CA1321"/>
    <w:p w:rsidR="00CA1321" w:rsidRPr="001F2F9B" w:rsidRDefault="00CA1321" w:rsidP="00CA1321">
      <w:pPr>
        <w:pStyle w:val="berschrift3"/>
        <w:ind w:left="1288"/>
        <w:rPr>
          <w:lang w:val="en-GB"/>
        </w:rPr>
      </w:pPr>
      <w:bookmarkStart w:id="141" w:name="_Toc444087644"/>
      <w:bookmarkStart w:id="142" w:name="_Toc444176217"/>
      <w:bookmarkStart w:id="143" w:name="_Toc445378540"/>
      <w:r w:rsidRPr="001F2F9B">
        <w:rPr>
          <w:lang w:val="en-GB"/>
        </w:rPr>
        <w:t>Operational aspects regarding international assistance</w:t>
      </w:r>
      <w:bookmarkEnd w:id="141"/>
      <w:bookmarkEnd w:id="142"/>
      <w:bookmarkEnd w:id="143"/>
    </w:p>
    <w:p w:rsidR="00CA1321" w:rsidRPr="001F2F9B" w:rsidRDefault="00CA1321" w:rsidP="00CA1321">
      <w:r w:rsidRPr="001F2F9B">
        <w:t>The Finnish Red Cross provided a very good overview on the regular processes regarding international assistance</w:t>
      </w:r>
      <w:r w:rsidRPr="001F2F9B">
        <w:rPr>
          <w:rStyle w:val="Funotenzeichen"/>
        </w:rPr>
        <w:footnoteReference w:id="60"/>
      </w:r>
      <w:r w:rsidRPr="001F2F9B">
        <w:t>:</w:t>
      </w:r>
    </w:p>
    <w:p w:rsidR="00CA1321" w:rsidRPr="001F2F9B" w:rsidRDefault="00CA1321" w:rsidP="00CA1321">
      <w:pPr>
        <w:pStyle w:val="longerquotation"/>
        <w:rPr>
          <w:rStyle w:val="IntensiveHervorhebung"/>
          <w:lang w:val="en-GB"/>
        </w:rPr>
      </w:pPr>
      <w:r w:rsidRPr="001F2F9B">
        <w:rPr>
          <w:rStyle w:val="IntensiveHervorhebung"/>
          <w:lang w:val="en-GB"/>
        </w:rPr>
        <w:t>Requesting assistance</w:t>
      </w:r>
    </w:p>
    <w:p w:rsidR="00CA1321" w:rsidRPr="001F2F9B" w:rsidRDefault="00CA1321" w:rsidP="00CA1321">
      <w:pPr>
        <w:pStyle w:val="longerquotation"/>
        <w:rPr>
          <w:lang w:val="en-GB"/>
        </w:rPr>
      </w:pPr>
      <w:r w:rsidRPr="001F2F9B">
        <w:rPr>
          <w:lang w:val="en-GB"/>
        </w:rPr>
        <w:lastRenderedPageBreak/>
        <w:t>In Finland, the duty and jurisdiction for requesting international assistance is determined by the nature of the incident and by the system of agreements within which the request is being made.</w:t>
      </w:r>
    </w:p>
    <w:p w:rsidR="00CA1321" w:rsidRPr="001F2F9B" w:rsidRDefault="00CA1321" w:rsidP="00CA1321">
      <w:pPr>
        <w:pStyle w:val="longerquotation"/>
        <w:rPr>
          <w:lang w:val="en-GB"/>
        </w:rPr>
      </w:pPr>
      <w:r w:rsidRPr="001F2F9B">
        <w:rPr>
          <w:lang w:val="en-GB"/>
        </w:rPr>
        <w:t>Requesting international assistance does not presuppose that a national emergency or a state of emergency has been declared. No special criteria have been set in legislation or preparation for requesting assistance. There is no obligation to request international assistance or accepts offers of assistance. Finland can reject all offers of assistance or specify the assistance it needs or is willing to accept, from individual employees to vehicles. Requests for assistance must be explicit and specified.</w:t>
      </w:r>
    </w:p>
    <w:p w:rsidR="00CA1321" w:rsidRPr="001F2F9B" w:rsidRDefault="00CA1321" w:rsidP="00CA1321">
      <w:pPr>
        <w:pStyle w:val="longerquotation"/>
        <w:rPr>
          <w:lang w:val="en-GB"/>
        </w:rPr>
      </w:pPr>
      <w:r w:rsidRPr="001F2F9B">
        <w:rPr>
          <w:lang w:val="en-GB"/>
        </w:rPr>
        <w:t xml:space="preserve">In accordance with Section 35 of the Rescue Act, if authorities from more than one sector take part in rescue operations, the officer in charge of the rescue operations is in overall charge of the situation. In practice, the officer in charge of rescue operations in the area of the accident notifies the Department for Rescue Services of the Ministry of the Interior of the accident (or the officer on duty at the ministry outside office hours). They also assess the need for requesting international assistance. According to Section 38 of the Rescue Act, “the Ministry of the Interior may also request international assistance in the field of rescue services from the European Union, other states or international organisations”. The decision to request assistance is made by the </w:t>
      </w:r>
      <w:r w:rsidRPr="001F2F9B">
        <w:rPr>
          <w:b/>
          <w:lang w:val="en-GB"/>
        </w:rPr>
        <w:t>Director-General of the Department for Rescue Services</w:t>
      </w:r>
      <w:r w:rsidRPr="001F2F9B">
        <w:rPr>
          <w:lang w:val="en-GB"/>
        </w:rPr>
        <w:t xml:space="preserve"> at the Ministry of the Interior of his or her deputy.</w:t>
      </w:r>
    </w:p>
    <w:p w:rsidR="00CA1321" w:rsidRPr="001F2F9B" w:rsidRDefault="00CA1321" w:rsidP="00CA1321">
      <w:pPr>
        <w:pStyle w:val="longerquotation"/>
        <w:rPr>
          <w:lang w:val="en-GB"/>
        </w:rPr>
      </w:pPr>
      <w:r w:rsidRPr="001F2F9B">
        <w:rPr>
          <w:lang w:val="en-GB"/>
        </w:rPr>
        <w:t xml:space="preserve">All administrative sectors have their own general leadership and, in cases such as cross-border threats to health, international assistance can be requested by the </w:t>
      </w:r>
      <w:r w:rsidRPr="001F2F9B">
        <w:rPr>
          <w:b/>
          <w:lang w:val="en-GB"/>
        </w:rPr>
        <w:t>Ministry of the Interior</w:t>
      </w:r>
      <w:r w:rsidRPr="001F2F9B">
        <w:rPr>
          <w:lang w:val="en-GB"/>
        </w:rPr>
        <w:t xml:space="preserve"> or, in incidents relating to radiation safety, by </w:t>
      </w:r>
      <w:r w:rsidRPr="001F2F9B">
        <w:rPr>
          <w:b/>
          <w:lang w:val="en-GB"/>
        </w:rPr>
        <w:t>STUK</w:t>
      </w:r>
      <w:r w:rsidRPr="001F2F9B">
        <w:rPr>
          <w:lang w:val="en-GB"/>
        </w:rPr>
        <w:t>. Each authority decides on requesting assistance and the content of the assistance within its sector.</w:t>
      </w:r>
    </w:p>
    <w:p w:rsidR="00CA1321" w:rsidRPr="001F2F9B" w:rsidRDefault="00CA1321" w:rsidP="00CA1321">
      <w:pPr>
        <w:pStyle w:val="longerquotation"/>
        <w:rPr>
          <w:lang w:val="en-GB"/>
        </w:rPr>
      </w:pPr>
      <w:r w:rsidRPr="001F2F9B">
        <w:rPr>
          <w:lang w:val="en-GB"/>
        </w:rPr>
        <w:t xml:space="preserve">The </w:t>
      </w:r>
      <w:r w:rsidRPr="001F2F9B">
        <w:rPr>
          <w:b/>
          <w:lang w:val="en-GB"/>
        </w:rPr>
        <w:t>Finnish Red Cross</w:t>
      </w:r>
      <w:r w:rsidRPr="001F2F9B">
        <w:rPr>
          <w:lang w:val="en-GB"/>
        </w:rPr>
        <w:t xml:space="preserve"> can request assistance independently from national Red Cross organisations in other countries, the International Federation of Red Cross and Red Crescent Societies (IFRC) and the International Committee of the Red Cross (ICRC). In the Cap of the North, the Finnish Red Cross can request assistance independently in Finland, Sweden, Norway and Russia. The Nordic countries have made agreements on mutual assistance between national Red Cross organisations (the cooperation is based on agreements made at regular meetings).</w:t>
      </w:r>
    </w:p>
    <w:p w:rsidR="00CA1321" w:rsidRPr="001F2F9B" w:rsidRDefault="00CA1321" w:rsidP="00CA1321">
      <w:pPr>
        <w:pStyle w:val="longerquotation"/>
        <w:rPr>
          <w:lang w:val="en-GB"/>
        </w:rPr>
      </w:pPr>
      <w:r w:rsidRPr="001F2F9B">
        <w:rPr>
          <w:lang w:val="en-GB"/>
        </w:rPr>
        <w:t>Finland has no common arrangements in place for requesting international assistance nor a designated body to process the offers of assistance received when international assistance is requested. At the international level, in particular in the case of large-scale disasters, several operators from different sectors and systems may offer assistance. In order to guarantee and define the correct and rapid assistance it would be useful to create a national system for processing offers of assistance.</w:t>
      </w:r>
    </w:p>
    <w:p w:rsidR="00CA1321" w:rsidRPr="001F2F9B" w:rsidRDefault="00CA1321" w:rsidP="00CA1321">
      <w:pPr>
        <w:pStyle w:val="longerquotation"/>
        <w:rPr>
          <w:rStyle w:val="IntensiveHervorhebung"/>
          <w:lang w:val="en-GB"/>
        </w:rPr>
      </w:pPr>
      <w:r w:rsidRPr="001F2F9B">
        <w:rPr>
          <w:rStyle w:val="IntensiveHervorhebung"/>
          <w:lang w:val="en-GB"/>
        </w:rPr>
        <w:t>National Contact Points</w:t>
      </w:r>
    </w:p>
    <w:p w:rsidR="00CA1321" w:rsidRPr="001F2F9B" w:rsidRDefault="00CA1321" w:rsidP="00CA1321">
      <w:pPr>
        <w:pStyle w:val="longerquotation"/>
        <w:rPr>
          <w:rStyle w:val="IntensiveHervorhebung"/>
          <w:b w:val="0"/>
          <w:bCs w:val="0"/>
          <w:i/>
          <w:iCs/>
          <w:lang w:val="en-GB"/>
        </w:rPr>
      </w:pPr>
      <w:r w:rsidRPr="001F2F9B">
        <w:rPr>
          <w:rStyle w:val="IntensiveHervorhebung"/>
          <w:i/>
          <w:iCs/>
          <w:lang w:val="en-GB"/>
        </w:rPr>
        <w:t xml:space="preserve">The national contact point in Finland is the </w:t>
      </w:r>
      <w:r w:rsidRPr="001F2F9B">
        <w:rPr>
          <w:b/>
          <w:lang w:val="en-GB"/>
        </w:rPr>
        <w:t>Government’s Situation Centre</w:t>
      </w:r>
      <w:r w:rsidRPr="001F2F9B">
        <w:rPr>
          <w:rStyle w:val="IntensiveHervorhebung"/>
          <w:i/>
          <w:iCs/>
          <w:lang w:val="en-GB"/>
        </w:rPr>
        <w:t xml:space="preserve"> which operates under the Prime Minister’s Office. The Government Situation Centre is an around-the-clock contact point for officers on duty at ministries and for situation centres in various administrative sectors. </w:t>
      </w:r>
    </w:p>
    <w:p w:rsidR="00CA1321" w:rsidRPr="001F2F9B" w:rsidRDefault="00CA1321" w:rsidP="00CA1321">
      <w:pPr>
        <w:pStyle w:val="longerquotation"/>
        <w:rPr>
          <w:rStyle w:val="IntensiveHervorhebung"/>
          <w:b w:val="0"/>
          <w:bCs w:val="0"/>
          <w:i/>
          <w:iCs/>
          <w:lang w:val="en-GB"/>
        </w:rPr>
      </w:pPr>
      <w:r w:rsidRPr="001F2F9B">
        <w:rPr>
          <w:lang w:val="en-GB"/>
        </w:rPr>
        <w:lastRenderedPageBreak/>
        <w:t>The Government Situation Centre is responsible for international communications related to the information it has received. Using the CECIS, the Government Situation Centre passes on</w:t>
      </w:r>
      <w:r w:rsidRPr="001F2F9B">
        <w:rPr>
          <w:rStyle w:val="IntensiveHervorhebung"/>
          <w:i/>
          <w:iCs/>
          <w:lang w:val="en-GB"/>
        </w:rPr>
        <w:t xml:space="preserve"> the requests for international assistance made by Finnish authorities to the ERCC and other possible providers of assistance.</w:t>
      </w:r>
      <w:r w:rsidRPr="001F2F9B">
        <w:rPr>
          <w:rStyle w:val="Funotenzeichen"/>
          <w:lang w:val="en-GB"/>
        </w:rPr>
        <w:footnoteReference w:id="61"/>
      </w:r>
    </w:p>
    <w:p w:rsidR="00CA1321" w:rsidRPr="001F2F9B" w:rsidRDefault="00CA1321" w:rsidP="00CA1321">
      <w:pPr>
        <w:pStyle w:val="longerquotation"/>
        <w:rPr>
          <w:rStyle w:val="IntensiveHervorhebung"/>
          <w:b w:val="0"/>
          <w:bCs w:val="0"/>
          <w:i/>
          <w:iCs/>
          <w:lang w:val="en-GB"/>
        </w:rPr>
      </w:pPr>
      <w:r w:rsidRPr="001F2F9B">
        <w:rPr>
          <w:rStyle w:val="IntensiveHervorhebung"/>
          <w:i/>
          <w:iCs/>
          <w:lang w:val="en-GB"/>
        </w:rPr>
        <w:t>The principle rule is that the Ministry of the Interior is the competent authority and provides guidance in arrangements related to international assistance when many authorities are involved in a situation, but other agencies may have been designated as the national contact point in different agreement systems. Agreements relevant to this report include emergency notification and assistance systems of the IAEA, where the Radiation and Nuclear Safety Authority (STUK) under the Ministry of the Interior serves as the authority responsible for cooperation and situations of cross-border threats to health, where the jurisdiction lies with the Ministry of Social Affairs and Health. For sea rescue, the decision to request international assistance is made by the</w:t>
      </w:r>
      <w:r w:rsidRPr="001F2F9B">
        <w:rPr>
          <w:lang w:val="en-GB"/>
        </w:rPr>
        <w:t xml:space="preserve"> </w:t>
      </w:r>
      <w:r w:rsidRPr="001F2F9B">
        <w:rPr>
          <w:rStyle w:val="IntensiveHervorhebung"/>
          <w:i/>
          <w:iCs/>
          <w:lang w:val="en-GB"/>
        </w:rPr>
        <w:t>Maritime Rescue Coordination Centre. In air rescue, international assistance is requested by the aviation authority.</w:t>
      </w:r>
    </w:p>
    <w:p w:rsidR="00CA1321" w:rsidRPr="001F2F9B" w:rsidRDefault="00CA1321" w:rsidP="00CA1321">
      <w:pPr>
        <w:pStyle w:val="longerquotation"/>
        <w:rPr>
          <w:rStyle w:val="IntensiveHervorhebung"/>
          <w:b w:val="0"/>
          <w:bCs w:val="0"/>
          <w:i/>
          <w:iCs/>
          <w:lang w:val="en-GB"/>
        </w:rPr>
      </w:pPr>
      <w:r w:rsidRPr="001F2F9B">
        <w:rPr>
          <w:rStyle w:val="IntensiveHervorhebung"/>
          <w:i/>
          <w:iCs/>
          <w:lang w:val="en-GB"/>
        </w:rPr>
        <w:t>Rescue departments in Finnish border municipalities have special agreements on mutual assistance in rescue services with border municipalities in Sweden, for example. With Russia, Finland has adopted various common methods developed in practice over time. Local agreements may designate rescue departments or emergency response centres as contact points. According to the Barents Treaty, the primary national contact point in Finland is the emergency response centre in Oulu.</w:t>
      </w:r>
    </w:p>
    <w:p w:rsidR="00CA1321" w:rsidRPr="001F2F9B" w:rsidRDefault="00CA1321" w:rsidP="00CA1321">
      <w:pPr>
        <w:pStyle w:val="longerquotation"/>
        <w:rPr>
          <w:rStyle w:val="IntensiveHervorhebung"/>
          <w:b w:val="0"/>
          <w:bCs w:val="0"/>
          <w:i/>
          <w:iCs/>
          <w:lang w:val="en-GB"/>
        </w:rPr>
      </w:pPr>
      <w:r w:rsidRPr="001F2F9B">
        <w:rPr>
          <w:rStyle w:val="IntensiveHervorhebung"/>
          <w:i/>
          <w:iCs/>
          <w:lang w:val="en-GB"/>
        </w:rPr>
        <w:t xml:space="preserve">Finland has a long history of cooperation with Russia, and national contact points may be defined differently in various agreements. In addition, part of the information in the agreements is outdated. </w:t>
      </w:r>
    </w:p>
    <w:p w:rsidR="00CA1321" w:rsidRPr="001F2F9B" w:rsidRDefault="00CA1321" w:rsidP="00CA1321">
      <w:pPr>
        <w:pStyle w:val="longerquotation"/>
        <w:rPr>
          <w:lang w:val="en-GB"/>
        </w:rPr>
      </w:pPr>
      <w:r w:rsidRPr="001F2F9B">
        <w:rPr>
          <w:rStyle w:val="IntensiveHervorhebung"/>
          <w:i/>
          <w:iCs/>
          <w:lang w:val="en-GB"/>
        </w:rPr>
        <w:t>Several reforms have taken place in the Finnish administration since Finland signed</w:t>
      </w:r>
      <w:r w:rsidRPr="001F2F9B">
        <w:rPr>
          <w:rStyle w:val="Hervorhebung"/>
          <w:lang w:val="en-GB"/>
        </w:rPr>
        <w:t xml:space="preserve"> </w:t>
      </w:r>
      <w:r w:rsidRPr="001F2F9B">
        <w:rPr>
          <w:rStyle w:val="IntensiveHervorhebung"/>
          <w:i/>
          <w:iCs/>
          <w:lang w:val="en-GB"/>
        </w:rPr>
        <w:t>many international agreements; for example, the new Eme</w:t>
      </w:r>
      <w:r w:rsidRPr="001F2F9B">
        <w:rPr>
          <w:rStyle w:val="Hervorhebung"/>
          <w:b/>
          <w:lang w:val="en-GB"/>
        </w:rPr>
        <w:t>rgency Response Centre Agency</w:t>
      </w:r>
      <w:r w:rsidRPr="001F2F9B">
        <w:rPr>
          <w:rStyle w:val="IntensiveHervorhebung"/>
          <w:i/>
          <w:iCs/>
          <w:lang w:val="en-GB"/>
        </w:rPr>
        <w:t xml:space="preserve"> was</w:t>
      </w:r>
      <w:r w:rsidRPr="001F2F9B">
        <w:rPr>
          <w:rStyle w:val="Hervorhebung"/>
          <w:lang w:val="en-GB"/>
        </w:rPr>
        <w:t xml:space="preserve"> </w:t>
      </w:r>
      <w:r w:rsidRPr="001F2F9B">
        <w:rPr>
          <w:rStyle w:val="IntensiveHervorhebung"/>
          <w:i/>
          <w:iCs/>
          <w:lang w:val="en-GB"/>
        </w:rPr>
        <w:t>established in Finland, and in the agreements the definitions of contact points are not entirely up</w:t>
      </w:r>
      <w:r w:rsidRPr="001F2F9B">
        <w:rPr>
          <w:rStyle w:val="Hervorhebung"/>
          <w:lang w:val="en-GB"/>
        </w:rPr>
        <w:t xml:space="preserve"> </w:t>
      </w:r>
      <w:r w:rsidRPr="001F2F9B">
        <w:rPr>
          <w:rStyle w:val="IntensiveHervorhebung"/>
          <w:i/>
          <w:iCs/>
          <w:lang w:val="en-GB"/>
        </w:rPr>
        <w:t>to date. The Ministry of the Interior has proposed that all contact point operations based on</w:t>
      </w:r>
      <w:r w:rsidRPr="001F2F9B">
        <w:rPr>
          <w:rStyle w:val="Hervorhebung"/>
          <w:lang w:val="en-GB"/>
        </w:rPr>
        <w:t xml:space="preserve"> </w:t>
      </w:r>
      <w:r w:rsidRPr="001F2F9B">
        <w:rPr>
          <w:rStyle w:val="Hervorhebung"/>
          <w:b/>
          <w:lang w:val="en-GB"/>
        </w:rPr>
        <w:t>treaties be concentrated at the Government Situation Centre.</w:t>
      </w:r>
    </w:p>
    <w:p w:rsidR="00CA1321" w:rsidRPr="001F2F9B" w:rsidRDefault="00CA1321" w:rsidP="00CA1321">
      <w:pPr>
        <w:pStyle w:val="berschrift1"/>
        <w:rPr>
          <w:rFonts w:cs="Times New Roman"/>
          <w:lang w:val="en-GB"/>
        </w:rPr>
      </w:pPr>
      <w:bookmarkStart w:id="144" w:name="_Toc444087645"/>
      <w:bookmarkStart w:id="145" w:name="_Toc444176218"/>
      <w:bookmarkStart w:id="146" w:name="_Toc445378541"/>
      <w:r w:rsidRPr="001F2F9B">
        <w:rPr>
          <w:lang w:val="en-GB"/>
        </w:rPr>
        <w:lastRenderedPageBreak/>
        <w:t>Procedures</w:t>
      </w:r>
      <w:bookmarkEnd w:id="144"/>
      <w:bookmarkEnd w:id="145"/>
      <w:bookmarkEnd w:id="146"/>
    </w:p>
    <w:p w:rsidR="00CA1321" w:rsidRPr="001F2F9B" w:rsidRDefault="00CA1321" w:rsidP="00CA1321">
      <w:pPr>
        <w:pStyle w:val="berschrift2"/>
        <w:ind w:left="576" w:hanging="576"/>
        <w:rPr>
          <w:lang w:val="en-GB"/>
        </w:rPr>
      </w:pPr>
      <w:bookmarkStart w:id="147" w:name="_Toc444087646"/>
      <w:bookmarkStart w:id="148" w:name="_Toc444176219"/>
      <w:bookmarkStart w:id="149" w:name="_Toc445378542"/>
      <w:r w:rsidRPr="001F2F9B">
        <w:rPr>
          <w:lang w:val="en-GB"/>
        </w:rPr>
        <w:t>Standing Operating Procedures (SOPs) and Guidelines</w:t>
      </w:r>
      <w:bookmarkEnd w:id="147"/>
      <w:bookmarkEnd w:id="148"/>
      <w:bookmarkEnd w:id="149"/>
      <w:r w:rsidRPr="001F2F9B">
        <w:rPr>
          <w:lang w:val="en-GB"/>
        </w:rPr>
        <w:t xml:space="preserve"> </w:t>
      </w:r>
    </w:p>
    <w:p w:rsidR="00CA1321" w:rsidRPr="001F2F9B" w:rsidRDefault="00CA1321" w:rsidP="00CA1321">
      <w:pPr>
        <w:tabs>
          <w:tab w:val="left" w:pos="4536"/>
        </w:tabs>
      </w:pPr>
      <w:r w:rsidRPr="001F2F9B">
        <w:t xml:space="preserve">According to section 47 of the Rescue Act, authorities, agencies and state and municipal enterprises are all required to provide their executive and expert assistance as need be to prepare emergency plans under the direction of the rescue services. </w:t>
      </w:r>
    </w:p>
    <w:p w:rsidR="00CA1321" w:rsidRPr="001F2F9B" w:rsidRDefault="00CA1321" w:rsidP="00CA1321">
      <w:pPr>
        <w:tabs>
          <w:tab w:val="left" w:pos="4536"/>
        </w:tabs>
      </w:pPr>
      <w:r w:rsidRPr="001F2F9B">
        <w:t>There is also an obligation to ensure business continuity and cooperate during responses to disasters and emergencies. Furthermore, dedicated emergency plans have to be set up for public events as well as for specific risk-prone buildings or industrial sites, under the responsibility of the owner or the occupant. Plans, which should follow the minimum requirements defined in the Rescue Act and be submitted to the rescue services, are checked regularly by the regional state agencies. The Rescue Act also requires educational institutions and hospitals to prepare and update emergency plans anticipating dangerous situations and their impacts, with detailed instructions for evacuation. Under the Internal Security Programme, local security plans should also be prepared at the local level. Community participation in emergency planning is furthermore enabled by the Finnish National Rescue Association and also by programmes of the Red Cross.</w:t>
      </w:r>
    </w:p>
    <w:p w:rsidR="00CA1321" w:rsidRPr="001F2F9B" w:rsidRDefault="00CA1321" w:rsidP="00CA1321">
      <w:pPr>
        <w:tabs>
          <w:tab w:val="left" w:pos="4536"/>
        </w:tabs>
      </w:pPr>
      <w:r w:rsidRPr="001F2F9B">
        <w:t>For specific areas, like nuclear facilities (fostered by the government decree on Emergency Response Arrangements at Nuclear Power Plants 2008) or ports, cooperation within the development of emergency plans with relevant business and industrial operators is requested.</w:t>
      </w:r>
    </w:p>
    <w:p w:rsidR="00CA1321" w:rsidRPr="001F2F9B" w:rsidRDefault="00CA1321" w:rsidP="00CA1321">
      <w:pPr>
        <w:tabs>
          <w:tab w:val="left" w:pos="4536"/>
        </w:tabs>
      </w:pPr>
      <w:r w:rsidRPr="001F2F9B">
        <w:t>Though, emergency plans most likely exist for all possible situations at all levels, a dedicated written (English) example could not be found within this study.</w:t>
      </w:r>
    </w:p>
    <w:p w:rsidR="00CA1321" w:rsidRPr="001F2F9B" w:rsidRDefault="00CA1321" w:rsidP="00CA1321">
      <w:pPr>
        <w:tabs>
          <w:tab w:val="left" w:pos="4536"/>
        </w:tabs>
      </w:pPr>
      <w:r w:rsidRPr="001F2F9B">
        <w:t>An example for emergency plans resulting in guidelines is the Safety Manual of the Port of Kokkola</w:t>
      </w:r>
      <w:r w:rsidRPr="001F2F9B">
        <w:rPr>
          <w:rStyle w:val="Funotenzeichen"/>
        </w:rPr>
        <w:footnoteReference w:id="62"/>
      </w:r>
      <w:r w:rsidRPr="001F2F9B">
        <w:t>.</w:t>
      </w:r>
    </w:p>
    <w:p w:rsidR="00CA1321" w:rsidRPr="001F2F9B" w:rsidRDefault="00CA1321" w:rsidP="00CA1321">
      <w:pPr>
        <w:tabs>
          <w:tab w:val="left" w:pos="4536"/>
        </w:tabs>
      </w:pPr>
    </w:p>
    <w:p w:rsidR="00CA1321" w:rsidRPr="001F2F9B" w:rsidRDefault="00CA1321" w:rsidP="00CA1321">
      <w:pPr>
        <w:pStyle w:val="berschrift2"/>
        <w:ind w:left="576" w:hanging="576"/>
        <w:rPr>
          <w:lang w:val="en-GB"/>
        </w:rPr>
      </w:pPr>
      <w:bookmarkStart w:id="150" w:name="_Toc444087647"/>
      <w:bookmarkStart w:id="151" w:name="_Toc444176220"/>
      <w:bookmarkStart w:id="152" w:name="_Toc445378543"/>
      <w:r w:rsidRPr="001F2F9B">
        <w:rPr>
          <w:lang w:val="en-GB"/>
        </w:rPr>
        <w:t>Operations planning</w:t>
      </w:r>
      <w:bookmarkEnd w:id="150"/>
      <w:bookmarkEnd w:id="151"/>
      <w:bookmarkEnd w:id="152"/>
    </w:p>
    <w:p w:rsidR="00CA1321" w:rsidRPr="001F2F9B" w:rsidRDefault="00CA1321" w:rsidP="00CA1321">
      <w:pPr>
        <w:tabs>
          <w:tab w:val="left" w:pos="4536"/>
        </w:tabs>
      </w:pPr>
      <w:r w:rsidRPr="001F2F9B">
        <w:t xml:space="preserve">As mentioned before, each authority is responsible for its statutory functions not only during peacetime, but also during crises such as serious international disturbances, the threat of an armed attack, war, post-war situations, economic crises and disasters. Due to the all-hazard approach and the low risk profile of Finland, usually no specific operations planning are set out, but </w:t>
      </w:r>
      <w:r w:rsidRPr="001F2F9B">
        <w:rPr>
          <w:rStyle w:val="Hervorhebung"/>
        </w:rPr>
        <w:t>contingency planning</w:t>
      </w:r>
      <w:r w:rsidRPr="001F2F9B">
        <w:t xml:space="preserve">. </w:t>
      </w:r>
    </w:p>
    <w:p w:rsidR="00CA1321" w:rsidRPr="001F2F9B" w:rsidRDefault="00CA1321" w:rsidP="00CA1321">
      <w:pPr>
        <w:tabs>
          <w:tab w:val="left" w:pos="4536"/>
        </w:tabs>
      </w:pPr>
      <w:r w:rsidRPr="001F2F9B">
        <w:t>The responsibility for self-prepardness also applies for owners or holders of a building, an industrial or commercial entrepreneur, an agency, institution or other organisation as well as for those, running operations which may particularly endanger people, property or the environment. The liability includes preparing rescue measures which they can take at their own initiative. The population exposed to the danger must be heard when drawing up the plan and informed thereof.</w:t>
      </w:r>
    </w:p>
    <w:p w:rsidR="00CA1321" w:rsidRPr="001F2F9B" w:rsidRDefault="00CA1321" w:rsidP="00CA1321">
      <w:pPr>
        <w:tabs>
          <w:tab w:val="left" w:pos="4536"/>
        </w:tabs>
      </w:pPr>
    </w:p>
    <w:p w:rsidR="00CA1321" w:rsidRPr="001F2F9B" w:rsidRDefault="00CA1321" w:rsidP="00CA1321">
      <w:pPr>
        <w:tabs>
          <w:tab w:val="left" w:pos="4536"/>
        </w:tabs>
      </w:pPr>
      <w:r w:rsidRPr="001F2F9B">
        <w:t xml:space="preserve">Rescue services must be planned and arranged so that the measures may be taken efficiently and without delay. The service level of the rescue services must correspond to the accident threats present </w:t>
      </w:r>
      <w:r w:rsidRPr="001F2F9B">
        <w:lastRenderedPageBreak/>
        <w:t>in the municipality. The municipality’s duty is to assess the threats present in its area and determine the service level of its fire brigade according to the threats (see also 1.1.2).</w:t>
      </w:r>
    </w:p>
    <w:p w:rsidR="00CA1321" w:rsidRPr="001F2F9B" w:rsidRDefault="00CA1321" w:rsidP="00CA1321">
      <w:pPr>
        <w:tabs>
          <w:tab w:val="left" w:pos="4536"/>
        </w:tabs>
      </w:pPr>
      <w:r w:rsidRPr="001F2F9B">
        <w:t>The Ministry of the Interior, for example, states:</w:t>
      </w:r>
    </w:p>
    <w:p w:rsidR="00CA1321" w:rsidRPr="001F2F9B" w:rsidRDefault="00CA1321" w:rsidP="00CA1321">
      <w:pPr>
        <w:pStyle w:val="longerquotation"/>
        <w:rPr>
          <w:lang w:val="en-GB"/>
        </w:rPr>
      </w:pPr>
      <w:r w:rsidRPr="001F2F9B">
        <w:rPr>
          <w:lang w:val="en-GB"/>
        </w:rPr>
        <w:t xml:space="preserve">The Ministry of the Interior, along with other authorities, is obliged to ensure that it can perform its duties not only in normal conditions but also in abnormal and emergency conditions. The Emergency Powers Act obliges public authorities to ensure that they can also perform their duties with the least amount of disruption in emergency conditions. The authorities must do this by drawing up contingency plans, preparing for emergency operations and taking other measures. Preparedness for emergency conditions is managed, supervised and coordinated by the Government and by each Ministry in its field of operations. </w:t>
      </w:r>
    </w:p>
    <w:p w:rsidR="00CA1321" w:rsidRPr="001F2F9B" w:rsidRDefault="00CA1321" w:rsidP="00CA1321">
      <w:pPr>
        <w:tabs>
          <w:tab w:val="left" w:pos="4536"/>
        </w:tabs>
      </w:pPr>
      <w:r w:rsidRPr="001F2F9B">
        <w:t>Within the duties of each ministry lies the ensuring of the strategic tasks appointed to them by the Security Strategy for Society (see Table 3).</w:t>
      </w:r>
    </w:p>
    <w:p w:rsidR="00CA1321" w:rsidRPr="001F2F9B" w:rsidRDefault="00CA1321" w:rsidP="00CA1321">
      <w:r w:rsidRPr="001F2F9B">
        <w:t>As a result, the Ministry of the Interior is responsible for the nation-wide rescue-service preparations and arrangements as well as for the co-ordination of the tasks of rescue services belonging to the spheres of operation of different ministries. The Ministry directs rescue services as well as supervises their availability and level.</w:t>
      </w:r>
    </w:p>
    <w:p w:rsidR="00CA1321" w:rsidRPr="001F2F9B" w:rsidRDefault="00CA1321" w:rsidP="00CA1321">
      <w:pPr>
        <w:tabs>
          <w:tab w:val="left" w:pos="4536"/>
        </w:tabs>
      </w:pPr>
      <w:r w:rsidRPr="001F2F9B">
        <w:t>Another example is STUK, the Radiation and Nuclear Safety Authority, which shall specify detailed safety requirements concerning the implementation of safety level in accordance with the Guide for Nuclear Power Plant Emergency Preparedness 2010, as originally requested by the Nuclear Energy Act (990/1987).</w:t>
      </w:r>
    </w:p>
    <w:p w:rsidR="00CA1321" w:rsidRPr="001F2F9B" w:rsidRDefault="00CA1321" w:rsidP="00CA1321">
      <w:pPr>
        <w:tabs>
          <w:tab w:val="left" w:pos="4536"/>
        </w:tabs>
      </w:pPr>
      <w:r w:rsidRPr="001F2F9B">
        <w:t>Respective contingency planning may include international actors or may also face emergency situation abroad. A few (very divers) examples for contingency planning:</w:t>
      </w:r>
    </w:p>
    <w:p w:rsidR="00CA1321" w:rsidRPr="001F2F9B" w:rsidRDefault="00CA1321" w:rsidP="004C232D">
      <w:pPr>
        <w:pStyle w:val="Listenabsatz"/>
        <w:numPr>
          <w:ilvl w:val="0"/>
          <w:numId w:val="6"/>
        </w:numPr>
        <w:spacing w:after="120"/>
        <w:contextualSpacing w:val="0"/>
      </w:pPr>
      <w:hyperlink r:id="rId20" w:history="1">
        <w:r w:rsidRPr="001F2F9B">
          <w:rPr>
            <w:rStyle w:val="Hyperlink"/>
          </w:rPr>
          <w:t>Winter navigation risks and oil contingency plan (WINOIL)</w:t>
        </w:r>
      </w:hyperlink>
      <w:r w:rsidRPr="001F2F9B">
        <w:t xml:space="preserve"> of the Finnish Institute for Enviroment SYKE</w:t>
      </w:r>
    </w:p>
    <w:p w:rsidR="00CA1321" w:rsidRPr="001F2F9B" w:rsidRDefault="00CA1321" w:rsidP="004C232D">
      <w:pPr>
        <w:pStyle w:val="Listenabsatz"/>
        <w:numPr>
          <w:ilvl w:val="0"/>
          <w:numId w:val="6"/>
        </w:numPr>
        <w:spacing w:after="120"/>
        <w:contextualSpacing w:val="0"/>
      </w:pPr>
      <w:hyperlink r:id="rId21" w:history="1">
        <w:r w:rsidRPr="001F2F9B">
          <w:rPr>
            <w:rStyle w:val="Hyperlink"/>
          </w:rPr>
          <w:t>Nordic Contingency Planning and Crisis Management</w:t>
        </w:r>
      </w:hyperlink>
      <w:r w:rsidRPr="001F2F9B">
        <w:t xml:space="preserve"> of The Nordic Forum for Emergency Matters regarding the Power Sector (between Finland, Denmark, Norway and Sweden)</w:t>
      </w:r>
    </w:p>
    <w:p w:rsidR="00CA1321" w:rsidRPr="001F2F9B" w:rsidRDefault="00CA1321" w:rsidP="004C232D">
      <w:pPr>
        <w:pStyle w:val="Listenabsatz"/>
        <w:numPr>
          <w:ilvl w:val="0"/>
          <w:numId w:val="6"/>
        </w:numPr>
        <w:spacing w:after="120"/>
        <w:contextualSpacing w:val="0"/>
      </w:pPr>
      <w:hyperlink r:id="rId22" w:history="1">
        <w:r w:rsidRPr="001F2F9B">
          <w:rPr>
            <w:rStyle w:val="Hyperlink"/>
          </w:rPr>
          <w:t>Joint Contingency Plan for the Nordic Embassies in Kathmandu, Nepal</w:t>
        </w:r>
      </w:hyperlink>
    </w:p>
    <w:p w:rsidR="00CA1321" w:rsidRPr="001F2F9B" w:rsidRDefault="00CA1321" w:rsidP="004C232D">
      <w:pPr>
        <w:pStyle w:val="Listenabsatz"/>
        <w:numPr>
          <w:ilvl w:val="0"/>
          <w:numId w:val="6"/>
        </w:numPr>
        <w:spacing w:after="120"/>
        <w:contextualSpacing w:val="0"/>
      </w:pPr>
      <w:r w:rsidRPr="001F2F9B">
        <w:t xml:space="preserve">ARTIC COUNCIL: </w:t>
      </w:r>
      <w:hyperlink r:id="rId23" w:history="1">
        <w:r w:rsidRPr="001F2F9B">
          <w:rPr>
            <w:rStyle w:val="Hyperlink"/>
          </w:rPr>
          <w:t>Agreement on Cooperation on Marine Oil Pollution Preparedness and Response in the Arctic – Appendix IV Operational Guidelines</w:t>
        </w:r>
      </w:hyperlink>
    </w:p>
    <w:p w:rsidR="00CA1321" w:rsidRPr="001F2F9B" w:rsidRDefault="00CA1321" w:rsidP="00CA1321"/>
    <w:p w:rsidR="00CA1321" w:rsidRPr="001F2F9B" w:rsidRDefault="00CA1321" w:rsidP="00CA1321"/>
    <w:p w:rsidR="00CA1321" w:rsidRPr="001F2F9B" w:rsidRDefault="00CA1321" w:rsidP="00CA1321">
      <w:pPr>
        <w:pStyle w:val="berschrift2"/>
        <w:ind w:left="576" w:hanging="576"/>
        <w:rPr>
          <w:rFonts w:cs="Times New Roman"/>
          <w:lang w:val="en-GB"/>
        </w:rPr>
      </w:pPr>
      <w:bookmarkStart w:id="153" w:name="_Toc444087648"/>
      <w:bookmarkStart w:id="154" w:name="_Toc444176221"/>
      <w:bookmarkStart w:id="155" w:name="_Toc445378544"/>
      <w:r w:rsidRPr="001F2F9B">
        <w:rPr>
          <w:lang w:val="en-GB"/>
        </w:rPr>
        <w:t>Logistics support in crises</w:t>
      </w:r>
      <w:bookmarkEnd w:id="153"/>
      <w:bookmarkEnd w:id="154"/>
      <w:bookmarkEnd w:id="155"/>
    </w:p>
    <w:p w:rsidR="00CA1321" w:rsidRPr="001F2F9B" w:rsidRDefault="00CA1321" w:rsidP="00CA1321">
      <w:r w:rsidRPr="001F2F9B">
        <w:t xml:space="preserve">As mentioned throughout this study, each competent authority is responsible for ensuring the vital functions for society within its mandate in all aspects. As a result, no general authority for supporting logistical equipment during natural or man-made disasters could be found. Each authority is obliged to arrange related agreements if necessary. </w:t>
      </w:r>
    </w:p>
    <w:p w:rsidR="00CA1321" w:rsidRPr="001F2F9B" w:rsidRDefault="00CA1321" w:rsidP="00CA1321">
      <w:r w:rsidRPr="001F2F9B">
        <w:t>Finnish Defence Forces may contribute equipment for logistical support, however the use of military assets is restricted (see 3.1)</w:t>
      </w:r>
    </w:p>
    <w:p w:rsidR="00CA1321" w:rsidRPr="001F2F9B" w:rsidRDefault="00CA1321" w:rsidP="00CA1321">
      <w:pPr>
        <w:tabs>
          <w:tab w:val="left" w:pos="4536"/>
        </w:tabs>
      </w:pPr>
    </w:p>
    <w:p w:rsidR="00CA1321" w:rsidRPr="001F2F9B" w:rsidRDefault="00CA1321" w:rsidP="00CA1321">
      <w:pPr>
        <w:pStyle w:val="berschrift2"/>
        <w:ind w:left="576" w:hanging="576"/>
        <w:rPr>
          <w:lang w:val="en-GB"/>
        </w:rPr>
      </w:pPr>
      <w:bookmarkStart w:id="156" w:name="_Toc444087649"/>
      <w:bookmarkStart w:id="157" w:name="_Toc444176222"/>
      <w:bookmarkStart w:id="158" w:name="_Toc445378545"/>
      <w:r w:rsidRPr="001F2F9B">
        <w:rPr>
          <w:lang w:val="en-GB"/>
        </w:rPr>
        <w:t>Crisis communication to general public; Alert system; Public Information and Warnings</w:t>
      </w:r>
      <w:bookmarkEnd w:id="156"/>
      <w:bookmarkEnd w:id="157"/>
      <w:bookmarkEnd w:id="158"/>
    </w:p>
    <w:p w:rsidR="00CA1321" w:rsidRPr="001F2F9B" w:rsidRDefault="00CA1321" w:rsidP="00CA1321">
      <w:r w:rsidRPr="001F2F9B">
        <w:t xml:space="preserve">Following the principle of the “competent authorities” (see 1.2), responsibilities for warning the population in times of crisis and emergencies are shared by a number of stakeholders and carried out on different levels and through multiple channels. The latest resolution for communications during crisis are the instructions of the Prime Minister’s Office of May 2013 Central Government Communications in Incidents and Emergencies, which </w:t>
      </w:r>
      <w:r w:rsidRPr="001F2F9B">
        <w:rPr>
          <w:rStyle w:val="ZitatZchn"/>
        </w:rPr>
        <w:t xml:space="preserve">pay particular attention to seamless coordination of preparedness, management and communications activities as well as to effective flow of information. Reliable, efficient and timely internal and external communications are an inseparable element of incident management. </w:t>
      </w:r>
      <w:r w:rsidRPr="001F2F9B">
        <w:rPr>
          <w:rStyle w:val="Funotenzeichen"/>
        </w:rPr>
        <w:footnoteReference w:id="63"/>
      </w:r>
      <w:r w:rsidRPr="001F2F9B">
        <w:t xml:space="preserve"> These instructions replaced the guidelines of 2007 Government Communications in Crisis Situations and Emergencies</w:t>
      </w:r>
      <w:r w:rsidRPr="001F2F9B">
        <w:rPr>
          <w:rStyle w:val="Funotenzeichen"/>
        </w:rPr>
        <w:footnoteReference w:id="64"/>
      </w:r>
      <w:r w:rsidRPr="001F2F9B">
        <w:t xml:space="preserve">. </w:t>
      </w:r>
    </w:p>
    <w:p w:rsidR="00CA1321" w:rsidRPr="001F2F9B" w:rsidRDefault="00CA1321" w:rsidP="00CA1321">
      <w:r w:rsidRPr="001F2F9B">
        <w:t xml:space="preserve">The main early warning system in Finland is </w:t>
      </w:r>
      <w:r w:rsidRPr="001F2F9B">
        <w:rPr>
          <w:rStyle w:val="IntensiveHervorhebung"/>
        </w:rPr>
        <w:t>LUOVA</w:t>
      </w:r>
      <w:r w:rsidRPr="001F2F9B">
        <w:t xml:space="preserve">, which is a </w:t>
      </w:r>
      <w:r w:rsidRPr="001F2F9B">
        <w:rPr>
          <w:rStyle w:val="Hervorhebung"/>
        </w:rPr>
        <w:t>multi-hazard early warning system</w:t>
      </w:r>
      <w:r w:rsidRPr="001F2F9B">
        <w:t xml:space="preserve"> operated by the Finnish Meteorological Institute in cooperation with other actors through a multi-agency process (FMI, SYKE and the Institute of Seismology at the University of Helsinki). </w:t>
      </w:r>
    </w:p>
    <w:p w:rsidR="00CA1321" w:rsidRPr="001F2F9B" w:rsidRDefault="00CA1321" w:rsidP="00CA1321">
      <w:r w:rsidRPr="001F2F9B">
        <w:t xml:space="preserve">The strength of this state-of-the-art warning system is that it provides the appropriate technical platform to integrate and disseminate warnings. The platform is composed of several tools to integrate risk information and disseminate easy-to-use warning messages and maps through multiple channels to the risk management stakeholders. Initially developed for natural hazard warnings, it is now used for weather, marine, flood, earthquake, tsunami and space weather warning in close cooperation with other technical agencies. It builds on the 24/7 forecasting operations of FMI, and its daily colour-coded weather warnings based on pre-defined thresholds. LUOVA can be used to deliver tailored warnings with different lead-times and risk information depending on the users’ needs. </w:t>
      </w:r>
    </w:p>
    <w:p w:rsidR="00CA1321" w:rsidRPr="001F2F9B" w:rsidRDefault="00CA1321" w:rsidP="00CA1321">
      <w:r w:rsidRPr="001F2F9B">
        <w:t>Other technical systems are also available to provide dedicated warnings for forest fires through automatic satellite detection, or nuclear radiation detection. On the basis of the information received from the LUOVA system, the authorities plan on their own actions and warn the public.</w:t>
      </w:r>
    </w:p>
    <w:p w:rsidR="00CA1321" w:rsidRPr="001F2F9B" w:rsidRDefault="00CA1321" w:rsidP="00CA1321">
      <w:r w:rsidRPr="001F2F9B">
        <w:t xml:space="preserve">Currently, FMI and SYKE are working jointly to establish the </w:t>
      </w:r>
      <w:r w:rsidRPr="001F2F9B">
        <w:rPr>
          <w:rStyle w:val="IntensiveHervorhebung"/>
        </w:rPr>
        <w:t>Flood Warning Centre</w:t>
      </w:r>
      <w:r w:rsidRPr="001F2F9B">
        <w:t xml:space="preserve"> which is expected to become operational as of 2014. The aim of the Flood Centre is to provide Finnish society with information related to floods from one point of contact available 24/7. </w:t>
      </w:r>
    </w:p>
    <w:p w:rsidR="00CA1321" w:rsidRPr="001F2F9B" w:rsidRDefault="00CA1321" w:rsidP="00CA1321">
      <w:r w:rsidRPr="001F2F9B">
        <w:t xml:space="preserve">The Emergency Warnings Act 10.8.2012/466 legislates on emergency warnings issued by the authorities to be broadcast on the radio or on television. Emergency warnings are brief announcements to warn and instruct the public that can be issued by the competent authority if it is necessary to warn the public when a dangerous incident may threaten the lives or health of people or destroy or severely damage property. Regarding warning dissemination, specific partnerships with major broadcasting media have been set-up to allow programmes to be interrupted or to have a text message appearing on TV screens nationwide or at the regional level. </w:t>
      </w:r>
    </w:p>
    <w:p w:rsidR="00CA1321" w:rsidRPr="001F2F9B" w:rsidRDefault="00CA1321" w:rsidP="00CA1321">
      <w:r w:rsidRPr="001F2F9B">
        <w:t xml:space="preserve">Public warning sirens are also used as they cover more than 80 per cent of the population. </w:t>
      </w:r>
    </w:p>
    <w:p w:rsidR="00CA1321" w:rsidRPr="001F2F9B" w:rsidRDefault="00CA1321" w:rsidP="00CA1321">
      <w:r w:rsidRPr="001F2F9B">
        <w:lastRenderedPageBreak/>
        <w:t>Neighbouring countries are notified of nuclear accidents as well as oil and chemical accidents at sea or on boundary waters. The Ministry for Foreign Affairs plays a central role in foreign communications.</w:t>
      </w:r>
    </w:p>
    <w:p w:rsidR="00CA1321" w:rsidRPr="001F2F9B" w:rsidRDefault="00CA1321" w:rsidP="00CA1321">
      <w:r w:rsidRPr="001F2F9B">
        <w:t>Finnish authorities currently use and continue to develop new methods for utilising the social media in context with emergency warnings, e.g. by participation of the Emergency Services College in the EU FP7 project ISAR+ (Online and Mobile Communications for Crisis Response and Search and Rescue).</w:t>
      </w:r>
      <w:r w:rsidRPr="001F2F9B">
        <w:rPr>
          <w:rStyle w:val="Funotenzeichen"/>
        </w:rPr>
        <w:footnoteReference w:id="65"/>
      </w:r>
    </w:p>
    <w:p w:rsidR="00CA1321" w:rsidRPr="001F2F9B" w:rsidRDefault="00CA1321" w:rsidP="00CA1321">
      <w:pPr>
        <w:tabs>
          <w:tab w:val="left" w:pos="4536"/>
        </w:tabs>
      </w:pPr>
      <w:r w:rsidRPr="001F2F9B">
        <w:t xml:space="preserve">At the national level, the authorities communicate using the </w:t>
      </w:r>
      <w:r w:rsidRPr="001F2F9B">
        <w:rPr>
          <w:rStyle w:val="IntensiveHervorhebung"/>
        </w:rPr>
        <w:t>VIRVE network</w:t>
      </w:r>
      <w:r w:rsidRPr="001F2F9B">
        <w:t xml:space="preserve">, which is based on the TETRA standard and is operated by the State Security Networks Ltd. The network covers the entire area of Finland, and access is limited to specific user groups. The network is primarily used by rescue departments, the police, Finnish Customs, the Finnish Border Guard and the Finnish Defence Forces. The Ministry of Transport and Communications decides on the user groups entitled to use the VIRVE network. </w:t>
      </w:r>
    </w:p>
    <w:p w:rsidR="00CA1321" w:rsidRPr="001F2F9B" w:rsidRDefault="00CA1321" w:rsidP="00CA1321">
      <w:pPr>
        <w:tabs>
          <w:tab w:val="left" w:pos="4536"/>
        </w:tabs>
      </w:pPr>
      <w:r w:rsidRPr="001F2F9B">
        <w:t>Furthermore, Finland is, according to the 2014 Peer Review Process</w:t>
      </w:r>
      <w:r w:rsidRPr="001F2F9B">
        <w:rPr>
          <w:rStyle w:val="Funotenzeichen"/>
        </w:rPr>
        <w:footnoteReference w:id="66"/>
      </w:r>
      <w:r w:rsidRPr="001F2F9B">
        <w:t>, currently developing two new operational systems making use of high technologies and introducing innovative working processes to improve cooperation and exchange of information during emergencies:</w:t>
      </w:r>
    </w:p>
    <w:p w:rsidR="00CA1321" w:rsidRPr="001F2F9B" w:rsidRDefault="00CA1321" w:rsidP="00CA1321">
      <w:pPr>
        <w:pStyle w:val="longerquotation"/>
        <w:rPr>
          <w:lang w:val="en-GB"/>
        </w:rPr>
      </w:pPr>
      <w:r w:rsidRPr="001F2F9B">
        <w:rPr>
          <w:lang w:val="en-GB"/>
        </w:rPr>
        <w:t xml:space="preserve">The </w:t>
      </w:r>
      <w:r w:rsidRPr="001F2F9B">
        <w:rPr>
          <w:b/>
          <w:lang w:val="en-GB"/>
        </w:rPr>
        <w:t>ERICA</w:t>
      </w:r>
      <w:r w:rsidRPr="001F2F9B">
        <w:rPr>
          <w:lang w:val="en-GB"/>
        </w:rPr>
        <w:t xml:space="preserve"> common operational platform will integrate information flows from all emergency response authorities nationwide (police, fire &amp; rescue, medical, border guard), with GIS mapping, risk assessment information as well as operational models for emergency response for overall accident management in the Emergency Response Centres. </w:t>
      </w:r>
    </w:p>
    <w:p w:rsidR="00CA1321" w:rsidRPr="001F2F9B" w:rsidRDefault="00CA1321" w:rsidP="00CA1321">
      <w:pPr>
        <w:pStyle w:val="longerquotation"/>
        <w:rPr>
          <w:lang w:val="en-GB"/>
        </w:rPr>
      </w:pPr>
      <w:r w:rsidRPr="001F2F9B">
        <w:rPr>
          <w:lang w:val="en-GB"/>
        </w:rPr>
        <w:t xml:space="preserve">To complement this coordination platform of crisis centres, the operational </w:t>
      </w:r>
      <w:r w:rsidRPr="001F2F9B">
        <w:rPr>
          <w:b/>
          <w:lang w:val="en-GB"/>
        </w:rPr>
        <w:t>KEJO</w:t>
      </w:r>
      <w:r w:rsidRPr="001F2F9B">
        <w:rPr>
          <w:lang w:val="en-GB"/>
        </w:rPr>
        <w:t xml:space="preserve"> system will support emergency operations of the Finnish authorities in the field. These systems aim to ensure that Finland has a coherent, reliable and networked nationwide emergency response administration by 2015. There is also a situation awareness system for environmental emergency response (Baltic Oil Response Information System, </w:t>
      </w:r>
      <w:r w:rsidRPr="001F2F9B">
        <w:rPr>
          <w:b/>
          <w:lang w:val="en-GB"/>
        </w:rPr>
        <w:t>BORIS 227</w:t>
      </w:r>
      <w:r w:rsidRPr="001F2F9B">
        <w:rPr>
          <w:lang w:val="en-GB"/>
        </w:rPr>
        <w:t>) for oil spills.</w:t>
      </w:r>
    </w:p>
    <w:p w:rsidR="00CA1321" w:rsidRPr="001F2F9B" w:rsidRDefault="00CA1321" w:rsidP="00CA1321">
      <w:pPr>
        <w:tabs>
          <w:tab w:val="left" w:pos="4536"/>
        </w:tabs>
        <w:jc w:val="center"/>
      </w:pPr>
    </w:p>
    <w:p w:rsidR="00CA1321" w:rsidRPr="001F2F9B" w:rsidRDefault="00CA1321" w:rsidP="00CA1321">
      <w:pPr>
        <w:pStyle w:val="berschrift1"/>
        <w:rPr>
          <w:lang w:val="en-GB"/>
        </w:rPr>
      </w:pPr>
      <w:bookmarkStart w:id="159" w:name="_Toc444087650"/>
      <w:bookmarkStart w:id="160" w:name="_Toc444176223"/>
      <w:bookmarkStart w:id="161" w:name="_Toc445378546"/>
      <w:r w:rsidRPr="001F2F9B">
        <w:rPr>
          <w:lang w:val="en-GB"/>
        </w:rPr>
        <w:lastRenderedPageBreak/>
        <w:t>Capabilities</w:t>
      </w:r>
      <w:bookmarkEnd w:id="159"/>
      <w:bookmarkEnd w:id="160"/>
      <w:bookmarkEnd w:id="161"/>
    </w:p>
    <w:p w:rsidR="00CA1321" w:rsidRPr="001F2F9B" w:rsidRDefault="00CA1321" w:rsidP="00CA1321">
      <w:pPr>
        <w:pStyle w:val="berschrift2"/>
        <w:ind w:left="576" w:hanging="576"/>
        <w:rPr>
          <w:lang w:val="en-GB"/>
        </w:rPr>
      </w:pPr>
      <w:bookmarkStart w:id="162" w:name="_Toc444087651"/>
      <w:bookmarkStart w:id="163" w:name="_Toc444176224"/>
      <w:bookmarkStart w:id="164" w:name="_Toc445378547"/>
      <w:r w:rsidRPr="001F2F9B">
        <w:rPr>
          <w:lang w:val="en-GB"/>
        </w:rPr>
        <w:t>Human resources</w:t>
      </w:r>
      <w:bookmarkEnd w:id="162"/>
      <w:bookmarkEnd w:id="163"/>
      <w:bookmarkEnd w:id="164"/>
    </w:p>
    <w:p w:rsidR="00CA1321" w:rsidRPr="001F2F9B" w:rsidRDefault="00CA1321" w:rsidP="00CA1321">
      <w:r w:rsidRPr="001F2F9B">
        <w:t>The Comprehensive Report on the Rescue Services in Northern Finland from 2009 indicates resources related to the relevant tasks of rescue services as followed:</w:t>
      </w:r>
    </w:p>
    <w:p w:rsidR="00CA1321" w:rsidRPr="001F2F9B" w:rsidRDefault="00CA1321" w:rsidP="00CA1321">
      <w:pPr>
        <w:pStyle w:val="longerquotation"/>
        <w:rPr>
          <w:lang w:val="en-GB"/>
        </w:rPr>
      </w:pPr>
      <w:r w:rsidRPr="001F2F9B">
        <w:rPr>
          <w:lang w:val="en-GB"/>
        </w:rPr>
        <w:t>Within the 22 rescue service regions there are rescue departments with full-time (5000) and part-time personnel. On top there are 635 voluntary fire-brigades and 153 industrial brigades in Finland. The number of part-time and voluntary fire-fighter is 14300. Disaster planning, fire inspections and other duties of the authority are conducted by full-time rescue personnel. Law given duties of regional rescue services are: education and advising public and expert advisory to matters concerning rescue services, prevention of accidents and fires, civil defence, training for rescue personnel, planning and coordinating with different authorities, carry out rescue operations. Finnish rescue services have 4000 vehicles available and the annual expenditure is 340 million euro and they carry out 85000 missions annually. The missions are distributed between fires (18%), rescue missions (25%), checking and verification (35%), first response (medical) (15%) and assistance (7%).</w:t>
      </w:r>
    </w:p>
    <w:p w:rsidR="00CA1321" w:rsidRPr="001F2F9B" w:rsidRDefault="00CA1321" w:rsidP="00CA1321">
      <w:r w:rsidRPr="001F2F9B">
        <w:t>Regional reforms and the joining of responsibilities are estimated here as reasons for the decreasing numbers of authorities but nearly constant numbers of personnel.</w:t>
      </w:r>
    </w:p>
    <w:p w:rsidR="00CA1321" w:rsidRPr="001F2F9B" w:rsidRDefault="00CA1321" w:rsidP="00CA1321">
      <w:pPr>
        <w:tabs>
          <w:tab w:val="left" w:pos="4536"/>
        </w:tabs>
      </w:pPr>
      <w:r w:rsidRPr="001F2F9B">
        <w:t>The Finnish rescue services currently lists its personal as follow</w:t>
      </w:r>
      <w:r w:rsidRPr="001F2F9B">
        <w:rPr>
          <w:rStyle w:val="Funotenzeichen"/>
        </w:rPr>
        <w:footnoteReference w:id="67"/>
      </w:r>
      <w:r w:rsidRPr="001F2F9B">
        <w:t>:</w:t>
      </w:r>
    </w:p>
    <w:p w:rsidR="00CA1321" w:rsidRPr="001F2F9B" w:rsidRDefault="00CA1321" w:rsidP="004C232D">
      <w:pPr>
        <w:pStyle w:val="Listenabsatz"/>
        <w:numPr>
          <w:ilvl w:val="0"/>
          <w:numId w:val="6"/>
        </w:numPr>
        <w:spacing w:after="120"/>
        <w:contextualSpacing w:val="0"/>
      </w:pPr>
      <w:r w:rsidRPr="001F2F9B">
        <w:t>570 volunteer fire brigades</w:t>
      </w:r>
      <w:r w:rsidRPr="001F2F9B">
        <w:rPr>
          <w:rStyle w:val="Funotenzeichen"/>
        </w:rPr>
        <w:footnoteReference w:id="68"/>
      </w:r>
    </w:p>
    <w:p w:rsidR="00CA1321" w:rsidRPr="001F2F9B" w:rsidRDefault="00CA1321" w:rsidP="004C232D">
      <w:pPr>
        <w:pStyle w:val="Listenabsatz"/>
        <w:numPr>
          <w:ilvl w:val="0"/>
          <w:numId w:val="6"/>
        </w:numPr>
        <w:spacing w:after="120"/>
        <w:contextualSpacing w:val="0"/>
      </w:pPr>
      <w:r w:rsidRPr="001F2F9B">
        <w:t>105 institutional and industrial fire brigades Personnel</w:t>
      </w:r>
    </w:p>
    <w:p w:rsidR="00CA1321" w:rsidRPr="001F2F9B" w:rsidRDefault="00CA1321" w:rsidP="004C232D">
      <w:pPr>
        <w:pStyle w:val="Listenabsatz"/>
        <w:numPr>
          <w:ilvl w:val="0"/>
          <w:numId w:val="6"/>
        </w:numPr>
        <w:spacing w:after="120"/>
        <w:contextualSpacing w:val="0"/>
      </w:pPr>
      <w:r w:rsidRPr="001F2F9B">
        <w:t>4,800 full-time employees</w:t>
      </w:r>
    </w:p>
    <w:p w:rsidR="00CA1321" w:rsidRPr="001F2F9B" w:rsidRDefault="00CA1321" w:rsidP="004C232D">
      <w:pPr>
        <w:pStyle w:val="Listenabsatz"/>
        <w:numPr>
          <w:ilvl w:val="0"/>
          <w:numId w:val="6"/>
        </w:numPr>
        <w:spacing w:after="120"/>
        <w:contextualSpacing w:val="0"/>
      </w:pPr>
      <w:r w:rsidRPr="001F2F9B">
        <w:t>14,600 part-time and voluntary fire brigade members</w:t>
      </w:r>
    </w:p>
    <w:p w:rsidR="00CA1321" w:rsidRPr="001F2F9B" w:rsidRDefault="00CA1321" w:rsidP="00CA1321">
      <w:pPr>
        <w:tabs>
          <w:tab w:val="left" w:pos="4536"/>
        </w:tabs>
      </w:pPr>
    </w:p>
    <w:p w:rsidR="00CA1321" w:rsidRPr="001F2F9B" w:rsidRDefault="00CA1321" w:rsidP="00CA1321">
      <w:pPr>
        <w:tabs>
          <w:tab w:val="left" w:pos="4536"/>
        </w:tabs>
      </w:pPr>
      <w:r w:rsidRPr="001F2F9B">
        <w:t>To better estimate their capabilities; here are some average numbers of their operations:</w:t>
      </w:r>
    </w:p>
    <w:p w:rsidR="00CA1321" w:rsidRPr="001F2F9B" w:rsidRDefault="00CA1321" w:rsidP="004C232D">
      <w:pPr>
        <w:pStyle w:val="Listenabsatz"/>
        <w:numPr>
          <w:ilvl w:val="0"/>
          <w:numId w:val="6"/>
        </w:numPr>
        <w:spacing w:after="120"/>
        <w:contextualSpacing w:val="0"/>
        <w:jc w:val="left"/>
      </w:pPr>
      <w:r w:rsidRPr="001F2F9B">
        <w:t>Emergency missions per year</w:t>
      </w:r>
      <w:r w:rsidRPr="001F2F9B">
        <w:br/>
        <w:t>The total number of call-outs for rescue departments is about 110,000 a year</w:t>
      </w:r>
    </w:p>
    <w:p w:rsidR="00CA1321" w:rsidRPr="001F2F9B" w:rsidRDefault="00CA1321" w:rsidP="004C232D">
      <w:pPr>
        <w:pStyle w:val="Listenabsatz"/>
        <w:numPr>
          <w:ilvl w:val="0"/>
          <w:numId w:val="6"/>
        </w:numPr>
        <w:spacing w:after="120"/>
        <w:contextualSpacing w:val="0"/>
      </w:pPr>
      <w:r w:rsidRPr="001F2F9B">
        <w:t>Fires</w:t>
      </w:r>
      <w:r w:rsidRPr="001F2F9B">
        <w:br/>
        <w:t>Every year, rescue departments are called out to about 15,000 fires.</w:t>
      </w:r>
    </w:p>
    <w:p w:rsidR="00CA1321" w:rsidRPr="001F2F9B" w:rsidRDefault="00CA1321" w:rsidP="00CA1321">
      <w:pPr>
        <w:ind w:left="1420"/>
      </w:pPr>
      <w:r w:rsidRPr="001F2F9B">
        <w:t>Of these:</w:t>
      </w:r>
    </w:p>
    <w:p w:rsidR="00CA1321" w:rsidRPr="001F2F9B" w:rsidRDefault="00CA1321" w:rsidP="004C232D">
      <w:pPr>
        <w:pStyle w:val="Listenabsatz"/>
        <w:numPr>
          <w:ilvl w:val="0"/>
          <w:numId w:val="6"/>
        </w:numPr>
        <w:spacing w:after="120"/>
        <w:contextualSpacing w:val="0"/>
      </w:pPr>
      <w:r w:rsidRPr="001F2F9B">
        <w:t>6,300 are structural fires</w:t>
      </w:r>
    </w:p>
    <w:p w:rsidR="00CA1321" w:rsidRPr="001F2F9B" w:rsidRDefault="00CA1321" w:rsidP="004C232D">
      <w:pPr>
        <w:pStyle w:val="Listenabsatz"/>
        <w:numPr>
          <w:ilvl w:val="0"/>
          <w:numId w:val="6"/>
        </w:numPr>
        <w:spacing w:after="120"/>
        <w:contextualSpacing w:val="0"/>
      </w:pPr>
      <w:r w:rsidRPr="001F2F9B">
        <w:t>2,500 are vehicle fires</w:t>
      </w:r>
    </w:p>
    <w:p w:rsidR="00CA1321" w:rsidRPr="001F2F9B" w:rsidRDefault="00CA1321" w:rsidP="004C232D">
      <w:pPr>
        <w:pStyle w:val="Listenabsatz"/>
        <w:numPr>
          <w:ilvl w:val="0"/>
          <w:numId w:val="6"/>
        </w:numPr>
        <w:spacing w:after="120"/>
        <w:contextualSpacing w:val="0"/>
      </w:pPr>
      <w:r w:rsidRPr="001F2F9B">
        <w:t>3,000 are wildfires (The number varies considerably from year to year, depending on the dryness of the summer.)</w:t>
      </w:r>
    </w:p>
    <w:p w:rsidR="00CA1321" w:rsidRPr="001F2F9B" w:rsidRDefault="00CA1321" w:rsidP="004C232D">
      <w:pPr>
        <w:pStyle w:val="Listenabsatz"/>
        <w:numPr>
          <w:ilvl w:val="0"/>
          <w:numId w:val="6"/>
        </w:numPr>
        <w:spacing w:after="120"/>
        <w:contextualSpacing w:val="0"/>
      </w:pPr>
      <w:r w:rsidRPr="001F2F9B">
        <w:lastRenderedPageBreak/>
        <w:t>3,300 are other fires.</w:t>
      </w:r>
    </w:p>
    <w:p w:rsidR="00CA1321" w:rsidRPr="001F2F9B" w:rsidRDefault="00CA1321" w:rsidP="004C232D">
      <w:pPr>
        <w:pStyle w:val="Listenabsatz"/>
        <w:numPr>
          <w:ilvl w:val="0"/>
          <w:numId w:val="6"/>
        </w:numPr>
        <w:spacing w:after="120"/>
        <w:contextualSpacing w:val="0"/>
      </w:pPr>
      <w:r w:rsidRPr="001F2F9B">
        <w:t>Other call-outs</w:t>
      </w:r>
    </w:p>
    <w:p w:rsidR="00CA1321" w:rsidRPr="001F2F9B" w:rsidRDefault="00CA1321" w:rsidP="00CA1321">
      <w:r w:rsidRPr="001F2F9B">
        <w:t>The average number of other callouts is 29,640 per year.</w:t>
      </w:r>
    </w:p>
    <w:p w:rsidR="00CA1321" w:rsidRPr="001F2F9B" w:rsidRDefault="00CA1321" w:rsidP="00CA1321">
      <w:pPr>
        <w:ind w:left="1420"/>
      </w:pPr>
      <w:r w:rsidRPr="001F2F9B">
        <w:t>Of these</w:t>
      </w:r>
    </w:p>
    <w:p w:rsidR="00CA1321" w:rsidRPr="001F2F9B" w:rsidRDefault="00CA1321" w:rsidP="004C232D">
      <w:pPr>
        <w:pStyle w:val="Listenabsatz"/>
        <w:numPr>
          <w:ilvl w:val="0"/>
          <w:numId w:val="6"/>
        </w:numPr>
        <w:spacing w:after="120"/>
        <w:contextualSpacing w:val="0"/>
      </w:pPr>
      <w:r w:rsidRPr="001F2F9B">
        <w:t>13,500 are traffic accidents</w:t>
      </w:r>
    </w:p>
    <w:p w:rsidR="00CA1321" w:rsidRPr="001F2F9B" w:rsidRDefault="00CA1321" w:rsidP="004C232D">
      <w:pPr>
        <w:pStyle w:val="Listenabsatz"/>
        <w:numPr>
          <w:ilvl w:val="0"/>
          <w:numId w:val="6"/>
        </w:numPr>
        <w:spacing w:after="120"/>
        <w:contextualSpacing w:val="0"/>
      </w:pPr>
      <w:r w:rsidRPr="001F2F9B">
        <w:t>9,000 are loss prevention tasks</w:t>
      </w:r>
    </w:p>
    <w:p w:rsidR="00CA1321" w:rsidRPr="001F2F9B" w:rsidRDefault="00CA1321" w:rsidP="004C232D">
      <w:pPr>
        <w:pStyle w:val="Listenabsatz"/>
        <w:numPr>
          <w:ilvl w:val="0"/>
          <w:numId w:val="6"/>
        </w:numPr>
        <w:spacing w:after="120"/>
        <w:contextualSpacing w:val="0"/>
      </w:pPr>
      <w:r w:rsidRPr="001F2F9B">
        <w:t>2,500 are tasks to combat oil spills</w:t>
      </w:r>
    </w:p>
    <w:p w:rsidR="00CA1321" w:rsidRPr="001F2F9B" w:rsidRDefault="00CA1321" w:rsidP="004C232D">
      <w:pPr>
        <w:pStyle w:val="Listenabsatz"/>
        <w:numPr>
          <w:ilvl w:val="0"/>
          <w:numId w:val="6"/>
        </w:numPr>
        <w:spacing w:after="120"/>
        <w:contextualSpacing w:val="0"/>
      </w:pPr>
      <w:r w:rsidRPr="001F2F9B">
        <w:t>2,200 are tasks to rescue people</w:t>
      </w:r>
    </w:p>
    <w:p w:rsidR="00CA1321" w:rsidRPr="001F2F9B" w:rsidRDefault="00CA1321" w:rsidP="004C232D">
      <w:pPr>
        <w:pStyle w:val="Listenabsatz"/>
        <w:numPr>
          <w:ilvl w:val="0"/>
          <w:numId w:val="6"/>
        </w:numPr>
        <w:spacing w:after="120"/>
        <w:contextualSpacing w:val="0"/>
      </w:pPr>
      <w:r w:rsidRPr="001F2F9B">
        <w:t>2,000 are tasks to rescue animals</w:t>
      </w:r>
    </w:p>
    <w:p w:rsidR="00CA1321" w:rsidRPr="001F2F9B" w:rsidRDefault="00CA1321" w:rsidP="004C232D">
      <w:pPr>
        <w:pStyle w:val="Listenabsatz"/>
        <w:numPr>
          <w:ilvl w:val="0"/>
          <w:numId w:val="6"/>
        </w:numPr>
        <w:spacing w:after="120"/>
        <w:contextualSpacing w:val="0"/>
      </w:pPr>
      <w:r w:rsidRPr="001F2F9B">
        <w:t>320 are tasks relating to hazardous substances</w:t>
      </w:r>
    </w:p>
    <w:p w:rsidR="00CA1321" w:rsidRPr="001F2F9B" w:rsidRDefault="00CA1321" w:rsidP="004C232D">
      <w:pPr>
        <w:pStyle w:val="Listenabsatz"/>
        <w:numPr>
          <w:ilvl w:val="0"/>
          <w:numId w:val="6"/>
        </w:numPr>
        <w:spacing w:after="120"/>
        <w:contextualSpacing w:val="0"/>
      </w:pPr>
      <w:r w:rsidRPr="001F2F9B">
        <w:t>120 are explosions and collapsed buildings, roads and other structures.</w:t>
      </w:r>
    </w:p>
    <w:p w:rsidR="00CA1321" w:rsidRPr="001F2F9B" w:rsidRDefault="00CA1321" w:rsidP="00CA1321">
      <w:pPr>
        <w:tabs>
          <w:tab w:val="left" w:pos="4536"/>
        </w:tabs>
      </w:pPr>
    </w:p>
    <w:p w:rsidR="00CA1321" w:rsidRPr="001F2F9B" w:rsidRDefault="00CA1321" w:rsidP="00CA1321">
      <w:pPr>
        <w:tabs>
          <w:tab w:val="left" w:pos="4536"/>
        </w:tabs>
      </w:pPr>
      <w:r w:rsidRPr="001F2F9B">
        <w:t>Both information on the rescue service’s resources have to be topped with numbers of all divers other authorities involved in disaster preparedness and response, such as police, medical healthcare (pre-hospital and hospital healthcare), the Frontier Guard, the Emergency Response Centres, relevant agencies, equipment and personal of defence forces or the Network of voluntary organisations Vapepa (see 2.6), coordinated by the Red Cross etc. Volunteer rescue workers participate in search and maintenance, help and support for casualties and their families.</w:t>
      </w:r>
    </w:p>
    <w:p w:rsidR="00CA1321" w:rsidRPr="001F2F9B" w:rsidRDefault="00CA1321" w:rsidP="00CA1321">
      <w:pPr>
        <w:tabs>
          <w:tab w:val="left" w:pos="4536"/>
        </w:tabs>
      </w:pPr>
    </w:p>
    <w:p w:rsidR="00CA1321" w:rsidRPr="001F2F9B" w:rsidRDefault="00CA1321" w:rsidP="00CA1321">
      <w:pPr>
        <w:pStyle w:val="berschrift2"/>
        <w:ind w:left="576" w:hanging="576"/>
        <w:rPr>
          <w:lang w:val="en-GB"/>
        </w:rPr>
      </w:pPr>
      <w:bookmarkStart w:id="165" w:name="_Toc444087652"/>
      <w:bookmarkStart w:id="166" w:name="_Toc444176225"/>
      <w:bookmarkStart w:id="167" w:name="_Toc445378548"/>
      <w:r w:rsidRPr="001F2F9B">
        <w:rPr>
          <w:lang w:val="en-GB"/>
        </w:rPr>
        <w:t>Materiel (non-financial) resources</w:t>
      </w:r>
      <w:bookmarkEnd w:id="165"/>
      <w:bookmarkEnd w:id="166"/>
      <w:bookmarkEnd w:id="167"/>
    </w:p>
    <w:p w:rsidR="00CA1321" w:rsidRPr="001F2F9B" w:rsidRDefault="00CA1321" w:rsidP="00CA1321">
      <w:r w:rsidRPr="001F2F9B">
        <w:t>See 5.1</w:t>
      </w:r>
    </w:p>
    <w:p w:rsidR="00CA1321" w:rsidRPr="001F2F9B" w:rsidRDefault="00CA1321" w:rsidP="00CA1321"/>
    <w:p w:rsidR="00CA1321" w:rsidRPr="001F2F9B" w:rsidRDefault="00CA1321" w:rsidP="00CA1321">
      <w:pPr>
        <w:pStyle w:val="berschrift2"/>
        <w:ind w:left="576" w:hanging="576"/>
        <w:rPr>
          <w:lang w:val="en-GB"/>
        </w:rPr>
      </w:pPr>
      <w:bookmarkStart w:id="168" w:name="_Toc444087653"/>
      <w:bookmarkStart w:id="169" w:name="_Toc444176226"/>
      <w:bookmarkStart w:id="170" w:name="_Toc445378549"/>
      <w:r w:rsidRPr="001F2F9B">
        <w:rPr>
          <w:lang w:val="en-GB"/>
        </w:rPr>
        <w:t>Training</w:t>
      </w:r>
      <w:bookmarkEnd w:id="168"/>
      <w:bookmarkEnd w:id="169"/>
      <w:bookmarkEnd w:id="170"/>
    </w:p>
    <w:p w:rsidR="00CA1321" w:rsidRPr="001F2F9B" w:rsidRDefault="00CA1321" w:rsidP="00CA1321">
      <w:r w:rsidRPr="001F2F9B">
        <w:t xml:space="preserve">The competent authority for training of rescue services in Finland is the </w:t>
      </w:r>
      <w:r w:rsidRPr="001F2F9B">
        <w:rPr>
          <w:rStyle w:val="IntensiveHervorhebung"/>
        </w:rPr>
        <w:t>Emergency Services College</w:t>
      </w:r>
      <w:r w:rsidRPr="001F2F9B">
        <w:t xml:space="preserve"> in Kuopio under the supervision of the Ministry of the Interior (see 3.1).</w:t>
      </w:r>
    </w:p>
    <w:p w:rsidR="00CA1321" w:rsidRPr="001F2F9B" w:rsidRDefault="00CA1321" w:rsidP="00CA1321">
      <w:r w:rsidRPr="001F2F9B">
        <w:t>As summarizes by the comprehensive report on the Rescue Services in Northern Finland (2009),</w:t>
      </w:r>
    </w:p>
    <w:p w:rsidR="00CA1321" w:rsidRPr="001F2F9B" w:rsidRDefault="00CA1321" w:rsidP="00CA1321">
      <w:pPr>
        <w:pStyle w:val="longerquotation"/>
        <w:rPr>
          <w:lang w:val="en-GB"/>
        </w:rPr>
      </w:pPr>
      <w:r w:rsidRPr="001F2F9B">
        <w:rPr>
          <w:lang w:val="en-GB"/>
        </w:rPr>
        <w:t>the Emergency Services College, in Kuopio, provides education and training in its field of specialisation under the supervision of the Ministry of the Interior. The College provides basic vocational training and further training in rescue services, preparedness training for emergency situations, and other training related to rescue services. The College provides training leading to a vocational degree in the following training programmes:</w:t>
      </w:r>
    </w:p>
    <w:p w:rsidR="00CA1321" w:rsidRPr="001F2F9B" w:rsidRDefault="00CA1321" w:rsidP="004C232D">
      <w:pPr>
        <w:pStyle w:val="Listenabsatz"/>
        <w:numPr>
          <w:ilvl w:val="0"/>
          <w:numId w:val="6"/>
        </w:numPr>
        <w:spacing w:after="120"/>
        <w:contextualSpacing w:val="0"/>
      </w:pPr>
      <w:r w:rsidRPr="001F2F9B">
        <w:t>Firefighter</w:t>
      </w:r>
    </w:p>
    <w:p w:rsidR="00CA1321" w:rsidRPr="001F2F9B" w:rsidRDefault="00CA1321" w:rsidP="004C232D">
      <w:pPr>
        <w:pStyle w:val="Listenabsatz"/>
        <w:numPr>
          <w:ilvl w:val="0"/>
          <w:numId w:val="6"/>
        </w:numPr>
        <w:spacing w:after="120"/>
        <w:contextualSpacing w:val="0"/>
      </w:pPr>
      <w:r w:rsidRPr="001F2F9B">
        <w:t>Emergency Response Centre Operator</w:t>
      </w:r>
    </w:p>
    <w:p w:rsidR="00CA1321" w:rsidRPr="001F2F9B" w:rsidRDefault="00CA1321" w:rsidP="004C232D">
      <w:pPr>
        <w:pStyle w:val="Listenabsatz"/>
        <w:numPr>
          <w:ilvl w:val="0"/>
          <w:numId w:val="6"/>
        </w:numPr>
        <w:spacing w:after="120"/>
        <w:contextualSpacing w:val="0"/>
      </w:pPr>
      <w:r w:rsidRPr="001F2F9B">
        <w:t>Sub-Officer</w:t>
      </w:r>
    </w:p>
    <w:p w:rsidR="00CA1321" w:rsidRPr="001F2F9B" w:rsidRDefault="00CA1321" w:rsidP="004C232D">
      <w:pPr>
        <w:pStyle w:val="Listenabsatz"/>
        <w:numPr>
          <w:ilvl w:val="0"/>
          <w:numId w:val="6"/>
        </w:numPr>
        <w:spacing w:after="120"/>
        <w:contextualSpacing w:val="0"/>
      </w:pPr>
      <w:r w:rsidRPr="001F2F9B">
        <w:lastRenderedPageBreak/>
        <w:t>Fire Officer, Bachelor of Engineering</w:t>
      </w:r>
    </w:p>
    <w:p w:rsidR="00CA1321" w:rsidRPr="001F2F9B" w:rsidRDefault="00CA1321" w:rsidP="004C232D">
      <w:pPr>
        <w:pStyle w:val="Listenabsatz"/>
        <w:numPr>
          <w:ilvl w:val="0"/>
          <w:numId w:val="6"/>
        </w:numPr>
        <w:spacing w:after="120"/>
        <w:contextualSpacing w:val="0"/>
      </w:pPr>
      <w:r w:rsidRPr="001F2F9B">
        <w:t>The Fire Officer's Training Programme is arranged in cooperation with Savonia University of Applied Sciences.</w:t>
      </w:r>
    </w:p>
    <w:p w:rsidR="00CA1321" w:rsidRPr="001F2F9B" w:rsidRDefault="00CA1321" w:rsidP="00CA1321">
      <w:pPr>
        <w:pStyle w:val="longerquotation"/>
        <w:rPr>
          <w:lang w:val="en-GB"/>
        </w:rPr>
      </w:pPr>
      <w:r w:rsidRPr="001F2F9B">
        <w:rPr>
          <w:lang w:val="en-GB"/>
        </w:rPr>
        <w:t>The College also provides in-service training for the personnel working for the rescue services and emergency response centres. The main goal is to ensure that these organisations have access to the best possible knowledge and skills to maintain the standard of the services they provide.</w:t>
      </w:r>
    </w:p>
    <w:p w:rsidR="00CA1321" w:rsidRPr="001F2F9B" w:rsidRDefault="00CA1321" w:rsidP="00CA1321">
      <w:pPr>
        <w:pStyle w:val="longerquotation"/>
        <w:rPr>
          <w:lang w:val="en-GB"/>
        </w:rPr>
      </w:pPr>
      <w:r w:rsidRPr="001F2F9B">
        <w:rPr>
          <w:b/>
          <w:lang w:val="en-GB"/>
        </w:rPr>
        <w:t>All vocational qualifications in the field of rescue services are awarded by the Emergency Services College.</w:t>
      </w:r>
      <w:r w:rsidRPr="001F2F9B">
        <w:rPr>
          <w:lang w:val="en-GB"/>
        </w:rPr>
        <w:t xml:space="preserve"> A matriculation examination or vocational qualification is a prerequisite for admission to an educational programme leading to a professional qualification in rescue services.</w:t>
      </w:r>
    </w:p>
    <w:p w:rsidR="00CA1321" w:rsidRPr="001F2F9B" w:rsidRDefault="00CA1321" w:rsidP="00CA1321">
      <w:r w:rsidRPr="001F2F9B">
        <w:t>Training is also provided in international civil protection and civilian crisis management.</w:t>
      </w:r>
    </w:p>
    <w:p w:rsidR="00CA1321" w:rsidRPr="001F2F9B" w:rsidRDefault="00CA1321" w:rsidP="00CA1321">
      <w:r w:rsidRPr="001F2F9B">
        <w:t>As an example for decision-makers training, the report states that</w:t>
      </w:r>
    </w:p>
    <w:p w:rsidR="00CA1321" w:rsidRPr="001F2F9B" w:rsidRDefault="00CA1321" w:rsidP="00CA1321">
      <w:pPr>
        <w:pStyle w:val="longerquotation"/>
        <w:rPr>
          <w:highlight w:val="lightGray"/>
          <w:lang w:val="en-GB"/>
        </w:rPr>
      </w:pPr>
      <w:r w:rsidRPr="001F2F9B">
        <w:rPr>
          <w:lang w:val="en-GB"/>
        </w:rPr>
        <w:t>the ERC operator gets an 18 months long training at the Emergency Services College where they trained to receive and handle different types of emergency calls. After the initial risk assessment suitable actions are taken by the operator: send suitable response to the site or refer the caller to other services available.</w:t>
      </w:r>
    </w:p>
    <w:p w:rsidR="00CA1321" w:rsidRPr="001F2F9B" w:rsidRDefault="00CA1321" w:rsidP="00CA1321">
      <w:r w:rsidRPr="001F2F9B">
        <w:t>According to Finland’s Peer Review Report (2014),</w:t>
      </w:r>
    </w:p>
    <w:p w:rsidR="00CA1321" w:rsidRPr="001F2F9B" w:rsidRDefault="00CA1321" w:rsidP="00CA1321">
      <w:pPr>
        <w:pStyle w:val="longerquotation"/>
        <w:rPr>
          <w:lang w:val="en-GB"/>
        </w:rPr>
      </w:pPr>
      <w:r w:rsidRPr="001F2F9B">
        <w:rPr>
          <w:lang w:val="en-GB"/>
        </w:rPr>
        <w:t xml:space="preserve">Training is also provided by individual associations and organisations, offering courses on an array of issues, including empowering people to take responsibility for their own security. For example, the </w:t>
      </w:r>
      <w:r w:rsidRPr="001F2F9B">
        <w:rPr>
          <w:b/>
          <w:lang w:val="en-GB"/>
        </w:rPr>
        <w:t>Finnish National Rescue Association (SPEK)</w:t>
      </w:r>
      <w:r w:rsidRPr="001F2F9B">
        <w:rPr>
          <w:lang w:val="en-GB"/>
        </w:rPr>
        <w:t xml:space="preserve"> groups 37 </w:t>
      </w:r>
      <w:r w:rsidRPr="001F2F9B">
        <w:rPr>
          <w:b/>
          <w:lang w:val="en-GB"/>
        </w:rPr>
        <w:t>NGOs</w:t>
      </w:r>
      <w:r w:rsidRPr="001F2F9B">
        <w:rPr>
          <w:lang w:val="en-GB"/>
        </w:rPr>
        <w:t xml:space="preserve"> dedicated to the advancement of rescue and safety to build an understanding of self-preparedness within Finland’s communities. It cooperates closely with the Ministry of the Interior to develop and conduct courses in accident prevention, volunteer activities and preparedness, and civil protection. It also supports specific activities aimed at women and youth. </w:t>
      </w:r>
    </w:p>
    <w:p w:rsidR="00CA1321" w:rsidRPr="001F2F9B" w:rsidRDefault="00CA1321" w:rsidP="00CA1321">
      <w:pPr>
        <w:pStyle w:val="longerquotation"/>
        <w:rPr>
          <w:lang w:val="en-GB"/>
        </w:rPr>
      </w:pPr>
      <w:r w:rsidRPr="001F2F9B">
        <w:rPr>
          <w:lang w:val="en-GB"/>
        </w:rPr>
        <w:t xml:space="preserve">The </w:t>
      </w:r>
      <w:r w:rsidRPr="001F2F9B">
        <w:rPr>
          <w:b/>
          <w:lang w:val="en-GB"/>
        </w:rPr>
        <w:t>Finnish Red Cross</w:t>
      </w:r>
      <w:r w:rsidRPr="001F2F9B">
        <w:rPr>
          <w:lang w:val="en-GB"/>
        </w:rPr>
        <w:t xml:space="preserve">, with its 500 branches and some 30,000 volunteers, also offers courses in first aid and organises campaigns aimed at resilience-building. Its work is particularly impressive in supporting local communities to build risk awareness in scenarios such as winter power cuts or storms, as well as in supporting women’s roles in resilience-building. </w:t>
      </w:r>
    </w:p>
    <w:p w:rsidR="00CA1321" w:rsidRPr="001F2F9B" w:rsidRDefault="00CA1321" w:rsidP="00CA1321">
      <w:pPr>
        <w:pStyle w:val="longerquotation"/>
        <w:rPr>
          <w:lang w:val="en-GB"/>
        </w:rPr>
      </w:pPr>
      <w:r w:rsidRPr="001F2F9B">
        <w:rPr>
          <w:lang w:val="en-GB"/>
        </w:rPr>
        <w:t xml:space="preserve">The </w:t>
      </w:r>
      <w:r w:rsidRPr="001F2F9B">
        <w:rPr>
          <w:b/>
          <w:lang w:val="en-GB"/>
        </w:rPr>
        <w:t>Finnish Association of Fire Chiefs</w:t>
      </w:r>
      <w:r w:rsidRPr="001F2F9B">
        <w:rPr>
          <w:lang w:val="en-GB"/>
        </w:rPr>
        <w:t xml:space="preserve"> also provides fire, rescue and safety training, produces and publishes educational and training materials and makes proposals to improve safety.</w:t>
      </w:r>
    </w:p>
    <w:p w:rsidR="00CA1321" w:rsidRPr="001F2F9B" w:rsidRDefault="00CA1321" w:rsidP="00CA1321"/>
    <w:p w:rsidR="00CA1321" w:rsidRPr="001F2F9B" w:rsidRDefault="00CA1321" w:rsidP="00CA1321">
      <w:r w:rsidRPr="001F2F9B">
        <w:t>Cross-border and multinational trainings takes place in exercises within the respective bi- and multilateral agreements of Finland and its rescue service authorities (see 1.4.4 and 3.2.2).</w:t>
      </w:r>
    </w:p>
    <w:p w:rsidR="00CA1321" w:rsidRPr="001F2F9B" w:rsidRDefault="00CA1321" w:rsidP="00CA1321"/>
    <w:p w:rsidR="00CA1321" w:rsidRPr="001F2F9B" w:rsidRDefault="00CA1321" w:rsidP="00CA1321">
      <w:pPr>
        <w:pStyle w:val="berschrift2"/>
        <w:ind w:left="576" w:hanging="576"/>
        <w:rPr>
          <w:lang w:val="en-GB"/>
        </w:rPr>
      </w:pPr>
      <w:bookmarkStart w:id="171" w:name="_Toc444087654"/>
      <w:bookmarkStart w:id="172" w:name="_Toc444176227"/>
      <w:bookmarkStart w:id="173" w:name="_Toc445378550"/>
      <w:r w:rsidRPr="001F2F9B">
        <w:rPr>
          <w:lang w:val="en-GB"/>
        </w:rPr>
        <w:lastRenderedPageBreak/>
        <w:t>Procurement</w:t>
      </w:r>
      <w:bookmarkEnd w:id="171"/>
      <w:bookmarkEnd w:id="172"/>
      <w:bookmarkEnd w:id="173"/>
      <w:r w:rsidRPr="001F2F9B">
        <w:rPr>
          <w:lang w:val="en-GB"/>
        </w:rPr>
        <w:t xml:space="preserve"> </w:t>
      </w:r>
    </w:p>
    <w:p w:rsidR="00CA1321" w:rsidRPr="001F2F9B" w:rsidRDefault="00CA1321" w:rsidP="00CA1321">
      <w:r w:rsidRPr="001F2F9B">
        <w:t>Various information about procurement aspects has been found within this study, though no specific answers to procurement regulations or procedures with regard to disaster risk reduction capabilities could be found within the given timeframe.</w:t>
      </w:r>
    </w:p>
    <w:p w:rsidR="00CA1321" w:rsidRPr="001F2F9B" w:rsidRDefault="00CA1321" w:rsidP="00CA1321">
      <w:r w:rsidRPr="001F2F9B">
        <w:t xml:space="preserve">The </w:t>
      </w:r>
      <w:r w:rsidRPr="001F2F9B">
        <w:rPr>
          <w:rStyle w:val="IntensiveHervorhebung"/>
        </w:rPr>
        <w:t>Public Procurement Act</w:t>
      </w:r>
      <w:r w:rsidRPr="001F2F9B">
        <w:t xml:space="preserve"> (1505/1992; amendments up to 1530/2001 included), which is (probably) applicable for the procurement of most resources (the Act hasn’t been mentioned by name in any related document)</w:t>
      </w:r>
    </w:p>
    <w:p w:rsidR="00CA1321" w:rsidRPr="001F2F9B" w:rsidRDefault="00CA1321" w:rsidP="00CA1321">
      <w:pPr>
        <w:pStyle w:val="longerquotation"/>
        <w:rPr>
          <w:lang w:val="en-GB"/>
        </w:rPr>
      </w:pPr>
      <w:r w:rsidRPr="001F2F9B">
        <w:rPr>
          <w:lang w:val="en-GB"/>
        </w:rPr>
        <w:t>The State authorities, local authorities and other contracting entities referred to in this Act shall, with a view to promoting competition and ensuring equal and non-discriminatory treatment of those who participate in a tendering procedure, observe this Act in their contracts.</w:t>
      </w:r>
    </w:p>
    <w:p w:rsidR="00CA1321" w:rsidRPr="001F2F9B" w:rsidRDefault="00CA1321" w:rsidP="00CA1321">
      <w:pPr>
        <w:pStyle w:val="longerquotation"/>
        <w:rPr>
          <w:lang w:val="en-GB"/>
        </w:rPr>
      </w:pPr>
      <w:r w:rsidRPr="001F2F9B">
        <w:rPr>
          <w:lang w:val="en-GB"/>
        </w:rPr>
        <w:t xml:space="preserve">This Act shall </w:t>
      </w:r>
      <w:r w:rsidRPr="001F2F9B">
        <w:rPr>
          <w:b/>
          <w:lang w:val="en-GB"/>
        </w:rPr>
        <w:t>not</w:t>
      </w:r>
      <w:r w:rsidRPr="001F2F9B">
        <w:rPr>
          <w:lang w:val="en-GB"/>
        </w:rPr>
        <w:t xml:space="preserve"> apply to:</w:t>
      </w:r>
    </w:p>
    <w:p w:rsidR="00CA1321" w:rsidRPr="001F2F9B" w:rsidRDefault="00CA1321" w:rsidP="00CA1321">
      <w:pPr>
        <w:pStyle w:val="longerquotation"/>
        <w:rPr>
          <w:lang w:val="en-GB"/>
        </w:rPr>
      </w:pPr>
      <w:r w:rsidRPr="001F2F9B">
        <w:rPr>
          <w:lang w:val="en-GB"/>
        </w:rPr>
        <w:t>(1) contracts which are declared secret or contracts where the protection of the basic interests of the State's security requires a different procedure or where special safety regulations shall be observed in accordance with the laws, regulations or administrative provisions;</w:t>
      </w:r>
    </w:p>
    <w:p w:rsidR="00CA1321" w:rsidRPr="001F2F9B" w:rsidRDefault="00CA1321" w:rsidP="00CA1321">
      <w:pPr>
        <w:pStyle w:val="longerquotation"/>
        <w:rPr>
          <w:lang w:val="en-GB"/>
        </w:rPr>
      </w:pPr>
      <w:r w:rsidRPr="001F2F9B">
        <w:rPr>
          <w:lang w:val="en-GB"/>
        </w:rPr>
        <w:t>(2) supply contracts which are principally suited to military use;</w:t>
      </w:r>
    </w:p>
    <w:p w:rsidR="00CA1321" w:rsidRPr="001F2F9B" w:rsidRDefault="00CA1321" w:rsidP="00CA1321">
      <w:pPr>
        <w:pStyle w:val="longerquotation"/>
        <w:rPr>
          <w:lang w:val="en-GB"/>
        </w:rPr>
      </w:pPr>
      <w:r w:rsidRPr="001F2F9B">
        <w:rPr>
          <w:lang w:val="en-GB"/>
        </w:rPr>
        <w:t>(3) contracts awarded pursuant to the particular procedure of an international organisation;</w:t>
      </w:r>
    </w:p>
    <w:p w:rsidR="00CA1321" w:rsidRPr="001F2F9B" w:rsidRDefault="00CA1321" w:rsidP="00CA1321">
      <w:pPr>
        <w:pStyle w:val="longerquotation"/>
        <w:rPr>
          <w:lang w:val="en-GB"/>
        </w:rPr>
      </w:pPr>
      <w:r w:rsidRPr="001F2F9B">
        <w:rPr>
          <w:lang w:val="en-GB"/>
        </w:rPr>
        <w:t>(4) contracts awarded in pursuance of an international cooperation agreement entered into by Finland. (1247/1997)</w:t>
      </w:r>
    </w:p>
    <w:p w:rsidR="00CA1321" w:rsidRPr="001F2F9B" w:rsidRDefault="00CA1321" w:rsidP="00CA1321">
      <w:pPr>
        <w:pStyle w:val="longerquotation"/>
        <w:rPr>
          <w:lang w:val="en-GB"/>
        </w:rPr>
      </w:pPr>
      <w:r w:rsidRPr="001F2F9B">
        <w:rPr>
          <w:lang w:val="en-GB"/>
        </w:rPr>
        <w:t>The European Commission shall be notified of the international cooperation agreements referred to in section 1(2)(4) above. (1247/1997)</w:t>
      </w:r>
    </w:p>
    <w:p w:rsidR="00CA1321" w:rsidRPr="001F2F9B" w:rsidRDefault="00CA1321" w:rsidP="00CA1321">
      <w:r w:rsidRPr="001F2F9B">
        <w:t>As a result, it could not be out ruled that specific regulations with regard to procurement of relevant capabilities exist.</w:t>
      </w:r>
    </w:p>
    <w:p w:rsidR="00CA1321" w:rsidRPr="001F2F9B" w:rsidRDefault="00CA1321" w:rsidP="00CA1321">
      <w:r w:rsidRPr="001F2F9B">
        <w:t>The Finnish Red Cross for example, states</w:t>
      </w:r>
      <w:r w:rsidRPr="001F2F9B">
        <w:rPr>
          <w:rStyle w:val="Funotenzeichen"/>
        </w:rPr>
        <w:footnoteReference w:id="69"/>
      </w:r>
      <w:r w:rsidRPr="001F2F9B">
        <w:t xml:space="preserve"> about its own rules:</w:t>
      </w:r>
    </w:p>
    <w:p w:rsidR="00CA1321" w:rsidRPr="001F2F9B" w:rsidRDefault="00CA1321" w:rsidP="00CA1321">
      <w:pPr>
        <w:pStyle w:val="longerquotation"/>
        <w:rPr>
          <w:lang w:val="en-GB"/>
        </w:rPr>
      </w:pPr>
      <w:r w:rsidRPr="001F2F9B">
        <w:rPr>
          <w:lang w:val="en-GB"/>
        </w:rPr>
        <w:t>The procurement rules of the Finnish Red Cross ensure that all purchases are made cost-effectively. The rules are based on Finnish legislation, EU regulations and the rules of the Humanitarian Aid department of the European Commission (ECHO).</w:t>
      </w:r>
    </w:p>
    <w:p w:rsidR="00CA1321" w:rsidRPr="001F2F9B" w:rsidRDefault="00CA1321" w:rsidP="00CA1321">
      <w:pPr>
        <w:pStyle w:val="longerquotation"/>
        <w:rPr>
          <w:lang w:val="en-GB"/>
        </w:rPr>
      </w:pPr>
    </w:p>
    <w:p w:rsidR="00CA1321" w:rsidRPr="001F2F9B" w:rsidRDefault="00CA1321" w:rsidP="00CA1321">
      <w:pPr>
        <w:pStyle w:val="berschrift3"/>
        <w:ind w:left="1288"/>
        <w:rPr>
          <w:lang w:val="en-GB"/>
        </w:rPr>
      </w:pPr>
      <w:bookmarkStart w:id="174" w:name="_Toc444087655"/>
      <w:bookmarkStart w:id="175" w:name="_Toc444176228"/>
      <w:bookmarkStart w:id="176" w:name="_Toc445378551"/>
      <w:r w:rsidRPr="001F2F9B">
        <w:rPr>
          <w:lang w:val="en-GB"/>
        </w:rPr>
        <w:t>Procurement regulation</w:t>
      </w:r>
      <w:bookmarkEnd w:id="174"/>
      <w:bookmarkEnd w:id="175"/>
      <w:bookmarkEnd w:id="176"/>
    </w:p>
    <w:p w:rsidR="00CA1321" w:rsidRPr="001F2F9B" w:rsidRDefault="00CA1321" w:rsidP="00CA1321">
      <w:pPr>
        <w:tabs>
          <w:tab w:val="left" w:pos="4536"/>
        </w:tabs>
      </w:pPr>
      <w:r w:rsidRPr="001F2F9B">
        <w:t>See 5.4</w:t>
      </w:r>
    </w:p>
    <w:p w:rsidR="00CA1321" w:rsidRPr="001F2F9B" w:rsidRDefault="00CA1321" w:rsidP="00CA1321">
      <w:pPr>
        <w:pStyle w:val="berschrift3"/>
        <w:ind w:left="1288"/>
        <w:rPr>
          <w:lang w:val="en-GB"/>
        </w:rPr>
      </w:pPr>
      <w:bookmarkStart w:id="177" w:name="_Toc444087656"/>
      <w:bookmarkStart w:id="178" w:name="_Toc444176229"/>
      <w:bookmarkStart w:id="179" w:name="_Toc445378552"/>
      <w:r w:rsidRPr="001F2F9B">
        <w:rPr>
          <w:lang w:val="en-GB"/>
        </w:rPr>
        <w:t>Procurement procedures</w:t>
      </w:r>
      <w:bookmarkEnd w:id="177"/>
      <w:bookmarkEnd w:id="178"/>
      <w:bookmarkEnd w:id="179"/>
    </w:p>
    <w:p w:rsidR="00CA1321" w:rsidRPr="001F2F9B" w:rsidRDefault="00CA1321" w:rsidP="00CA1321">
      <w:pPr>
        <w:tabs>
          <w:tab w:val="left" w:pos="4536"/>
        </w:tabs>
      </w:pPr>
      <w:r w:rsidRPr="001F2F9B">
        <w:t>See 5.4</w:t>
      </w:r>
    </w:p>
    <w:p w:rsidR="00CA1321" w:rsidRPr="001F2F9B" w:rsidRDefault="00CA1321" w:rsidP="00CA1321">
      <w:pPr>
        <w:pStyle w:val="berschrift2"/>
        <w:ind w:left="576" w:hanging="576"/>
        <w:rPr>
          <w:lang w:val="en-GB"/>
        </w:rPr>
      </w:pPr>
      <w:bookmarkStart w:id="180" w:name="_Toc444087657"/>
      <w:bookmarkStart w:id="181" w:name="_Toc444176230"/>
      <w:bookmarkStart w:id="182" w:name="_Toc445378553"/>
      <w:r w:rsidRPr="001F2F9B">
        <w:rPr>
          <w:lang w:val="en-GB"/>
        </w:rPr>
        <w:lastRenderedPageBreak/>
        <w:t>Niche capabilities</w:t>
      </w:r>
      <w:bookmarkEnd w:id="180"/>
      <w:bookmarkEnd w:id="181"/>
      <w:bookmarkEnd w:id="182"/>
    </w:p>
    <w:p w:rsidR="00CA1321" w:rsidRPr="001F2F9B" w:rsidRDefault="00CA1321" w:rsidP="00CA1321">
      <w:pPr>
        <w:tabs>
          <w:tab w:val="left" w:pos="4536"/>
        </w:tabs>
      </w:pPr>
      <w:r w:rsidRPr="001F2F9B">
        <w:t>Finland doesn’t strive to develop specific niche capabilities relevant for the response of natural or man-made disasters. However, regarding niche capabilities in military and civilian crisis management, national strategies exist.</w:t>
      </w:r>
    </w:p>
    <w:p w:rsidR="00CA1321" w:rsidRPr="001F2F9B" w:rsidRDefault="00CA1321" w:rsidP="00CA1321">
      <w:pPr>
        <w:tabs>
          <w:tab w:val="left" w:pos="4536"/>
        </w:tabs>
      </w:pPr>
      <w:r w:rsidRPr="001F2F9B">
        <w:t>In context with civilian crisis management, Finland´s National Strategy for Civilian Crisis Management (update 2014) states:</w:t>
      </w:r>
    </w:p>
    <w:p w:rsidR="00CA1321" w:rsidRPr="001F2F9B" w:rsidRDefault="00CA1321" w:rsidP="00CA1321">
      <w:pPr>
        <w:pStyle w:val="longerquotation"/>
        <w:rPr>
          <w:lang w:val="en-GB"/>
        </w:rPr>
      </w:pPr>
      <w:r w:rsidRPr="001F2F9B">
        <w:rPr>
          <w:lang w:val="en-GB"/>
        </w:rPr>
        <w:t>In addition to police, rule of law, border security, human rights and gender equality expertise, Finland is improving its capacity in offering civilian crisis management related niche capabilities to those situations that call for special expertise such as forensic pathology, victim identification and investigation of war crimes, rapid search and rescue support to supplement the local capacity, and different techniques for criminal sanctions, such as correctional services. One should also look into other fields within the judicial sector, from which Finland has a lot to offer, such as the development of legal services, legal assistance and areas involving access to justice. Attention will be paid to competence related to the operating environment as well as conflict and culture sensitivity. There is a global demand for Finnish civilian crisis management know-how. The aim is to increase the export of expertise in civilian crisis management, social and gender equality and international security.</w:t>
      </w:r>
    </w:p>
    <w:p w:rsidR="00CA1321" w:rsidRPr="001F2F9B" w:rsidRDefault="00CA1321" w:rsidP="00CA1321">
      <w:r w:rsidRPr="001F2F9B">
        <w:t>The development of niche capability in military crisis management is requested by the Security Strategy for Society (2010).</w:t>
      </w:r>
    </w:p>
    <w:p w:rsidR="00CA1321" w:rsidRPr="001F2F9B" w:rsidRDefault="00CA1321" w:rsidP="00CA1321"/>
    <w:p w:rsidR="00CA1321" w:rsidRPr="001F2F9B" w:rsidRDefault="00CA1321" w:rsidP="00CA1321">
      <w:r w:rsidRPr="001F2F9B">
        <w:t xml:space="preserve">Nevertheless, some of the above mentioned capabilities also apply to response capabilities related to natural or man-made disasters, as treated in this study. Considering the high level of education and the up-to-date technical standard, it is assumed that individual experts, such as </w:t>
      </w:r>
      <w:r w:rsidRPr="001F2F9B">
        <w:rPr>
          <w:rStyle w:val="IntensiveHervorhebung"/>
        </w:rPr>
        <w:t>Finnish communication experts</w:t>
      </w:r>
      <w:r w:rsidRPr="001F2F9B">
        <w:t xml:space="preserve"> are recognized, for example for technical assistance support teams for On-Site Operations Coordinations Centers, though it couldn’t be found out within the timeframe of this study.</w:t>
      </w:r>
    </w:p>
    <w:p w:rsidR="00CA1321" w:rsidRPr="001F2F9B" w:rsidRDefault="00CA1321" w:rsidP="00CA1321">
      <w:pPr>
        <w:pStyle w:val="berschrift1"/>
        <w:numPr>
          <w:ilvl w:val="0"/>
          <w:numId w:val="0"/>
        </w:numPr>
        <w:rPr>
          <w:rFonts w:cs="Times New Roman"/>
          <w:lang w:val="en-GB"/>
        </w:rPr>
      </w:pPr>
      <w:bookmarkStart w:id="183" w:name="_Toc444087658"/>
      <w:bookmarkStart w:id="184" w:name="_Toc444176231"/>
      <w:bookmarkStart w:id="185" w:name="_Toc445378554"/>
      <w:r w:rsidRPr="001F2F9B">
        <w:rPr>
          <w:lang w:val="en-GB"/>
        </w:rPr>
        <w:lastRenderedPageBreak/>
        <w:t>Resources</w:t>
      </w:r>
      <w:bookmarkEnd w:id="183"/>
      <w:bookmarkEnd w:id="184"/>
      <w:bookmarkEnd w:id="185"/>
    </w:p>
    <w:p w:rsidR="00CA1321" w:rsidRPr="001F2F9B" w:rsidRDefault="00CA1321" w:rsidP="00CA1321">
      <w:pPr>
        <w:pStyle w:val="berschrift2"/>
        <w:numPr>
          <w:ilvl w:val="0"/>
          <w:numId w:val="0"/>
        </w:numPr>
        <w:rPr>
          <w:rFonts w:cs="Times New Roman"/>
          <w:lang w:val="en-GB"/>
        </w:rPr>
      </w:pPr>
      <w:bookmarkStart w:id="186" w:name="_Toc444087659"/>
      <w:bookmarkStart w:id="187" w:name="_Toc444176232"/>
      <w:bookmarkStart w:id="188" w:name="_Toc445378555"/>
      <w:r w:rsidRPr="001F2F9B">
        <w:rPr>
          <w:lang w:val="en-GB"/>
        </w:rPr>
        <w:t>Legislative acts</w:t>
      </w:r>
      <w:bookmarkEnd w:id="186"/>
      <w:bookmarkEnd w:id="187"/>
      <w:bookmarkEnd w:id="188"/>
    </w:p>
    <w:p w:rsidR="00CA1321" w:rsidRPr="001F2F9B" w:rsidRDefault="00CA1321" w:rsidP="00CA1321">
      <w:pPr>
        <w:tabs>
          <w:tab w:val="left" w:pos="4536"/>
        </w:tabs>
        <w:spacing w:after="120"/>
        <w:rPr>
          <w:rStyle w:val="Hervorhebung"/>
        </w:rPr>
      </w:pPr>
      <w:r w:rsidRPr="001F2F9B">
        <w:rPr>
          <w:rStyle w:val="Hervorhebung"/>
        </w:rPr>
        <w:t>The Finnish Red Cross’s report on legal preparedness for international disaster response 2014 lists the following acts as sources with regard to legislation:</w:t>
      </w:r>
    </w:p>
    <w:p w:rsidR="00CA1321" w:rsidRPr="001F2F9B" w:rsidRDefault="00CA1321" w:rsidP="00CA1321">
      <w:pPr>
        <w:tabs>
          <w:tab w:val="left" w:pos="4536"/>
        </w:tabs>
        <w:spacing w:after="120"/>
      </w:pPr>
      <w:r w:rsidRPr="001F2F9B">
        <w:t>Act on Centres for Economic Development, Transport and the Environment 20.11.2009/897</w:t>
      </w:r>
    </w:p>
    <w:p w:rsidR="00CA1321" w:rsidRPr="001F2F9B" w:rsidRDefault="00CA1321" w:rsidP="00CA1321">
      <w:pPr>
        <w:tabs>
          <w:tab w:val="left" w:pos="4536"/>
        </w:tabs>
        <w:spacing w:after="120"/>
      </w:pPr>
      <w:r w:rsidRPr="001F2F9B">
        <w:t>Act on Cooperation between the Police, Customs and the Border Guard 11.9.2009/687</w:t>
      </w:r>
    </w:p>
    <w:p w:rsidR="00CA1321" w:rsidRPr="001F2F9B" w:rsidRDefault="00CA1321" w:rsidP="00CA1321">
      <w:pPr>
        <w:tabs>
          <w:tab w:val="left" w:pos="4536"/>
        </w:tabs>
        <w:spacing w:after="120"/>
      </w:pPr>
      <w:r w:rsidRPr="001F2F9B">
        <w:t>Act on Emergency Response Centre Operations 20.8.2010/692</w:t>
      </w:r>
    </w:p>
    <w:p w:rsidR="00CA1321" w:rsidRPr="001F2F9B" w:rsidRDefault="00CA1321" w:rsidP="00CA1321">
      <w:pPr>
        <w:tabs>
          <w:tab w:val="left" w:pos="4536"/>
        </w:tabs>
        <w:spacing w:after="120"/>
      </w:pPr>
      <w:r w:rsidRPr="001F2F9B">
        <w:t>Act on Health Care Professionals 28.6.1994/559</w:t>
      </w:r>
    </w:p>
    <w:p w:rsidR="00CA1321" w:rsidRPr="001F2F9B" w:rsidRDefault="00CA1321" w:rsidP="00CA1321">
      <w:pPr>
        <w:tabs>
          <w:tab w:val="left" w:pos="4536"/>
        </w:tabs>
        <w:spacing w:after="120"/>
      </w:pPr>
      <w:r w:rsidRPr="001F2F9B">
        <w:t>Act on Oil Pollution Response 1673/2009</w:t>
      </w:r>
    </w:p>
    <w:p w:rsidR="00CA1321" w:rsidRPr="001F2F9B" w:rsidRDefault="00CA1321" w:rsidP="00CA1321">
      <w:pPr>
        <w:tabs>
          <w:tab w:val="left" w:pos="4536"/>
        </w:tabs>
        <w:spacing w:after="120"/>
      </w:pPr>
      <w:r w:rsidRPr="001F2F9B">
        <w:t>Act on Regional State Administrative Agencies 896/2009</w:t>
      </w:r>
    </w:p>
    <w:p w:rsidR="00CA1321" w:rsidRPr="001F2F9B" w:rsidRDefault="00CA1321" w:rsidP="00CA1321">
      <w:pPr>
        <w:tabs>
          <w:tab w:val="left" w:pos="4536"/>
        </w:tabs>
        <w:spacing w:after="120"/>
      </w:pPr>
      <w:r w:rsidRPr="001F2F9B">
        <w:t>Act on Relief of Double Taxation 18.12.1995/1552.</w:t>
      </w:r>
    </w:p>
    <w:p w:rsidR="00CA1321" w:rsidRPr="001F2F9B" w:rsidRDefault="00CA1321" w:rsidP="00CA1321">
      <w:pPr>
        <w:tabs>
          <w:tab w:val="left" w:pos="4536"/>
        </w:tabs>
        <w:spacing w:after="120"/>
      </w:pPr>
      <w:r w:rsidRPr="001F2F9B">
        <w:t>Act on State Civil Servants 19.8.1994/750</w:t>
      </w:r>
    </w:p>
    <w:p w:rsidR="00CA1321" w:rsidRPr="001F2F9B" w:rsidRDefault="00CA1321" w:rsidP="00CA1321">
      <w:pPr>
        <w:tabs>
          <w:tab w:val="left" w:pos="4536"/>
        </w:tabs>
        <w:spacing w:after="120"/>
      </w:pPr>
      <w:r w:rsidRPr="001F2F9B">
        <w:t>Act on State Treasury 15.2.1991/305</w:t>
      </w:r>
    </w:p>
    <w:p w:rsidR="00CA1321" w:rsidRPr="001F2F9B" w:rsidRDefault="00CA1321" w:rsidP="00CA1321">
      <w:pPr>
        <w:tabs>
          <w:tab w:val="left" w:pos="4536"/>
        </w:tabs>
        <w:spacing w:after="120"/>
      </w:pPr>
      <w:r w:rsidRPr="001F2F9B">
        <w:t>Act on the Airport Network and Airport Charges 11.3.2011/210</w:t>
      </w:r>
    </w:p>
    <w:p w:rsidR="00CA1321" w:rsidRPr="001F2F9B" w:rsidRDefault="00CA1321" w:rsidP="00CA1321">
      <w:pPr>
        <w:tabs>
          <w:tab w:val="left" w:pos="4536"/>
        </w:tabs>
        <w:spacing w:after="120"/>
      </w:pPr>
      <w:r w:rsidRPr="001F2F9B">
        <w:t>Act on the Autonomy of Åland 16.8.1991/1144</w:t>
      </w:r>
    </w:p>
    <w:p w:rsidR="00CA1321" w:rsidRPr="001F2F9B" w:rsidRDefault="00CA1321" w:rsidP="00CA1321">
      <w:pPr>
        <w:tabs>
          <w:tab w:val="left" w:pos="4536"/>
        </w:tabs>
        <w:spacing w:after="120"/>
      </w:pPr>
      <w:r w:rsidRPr="001F2F9B">
        <w:t>Act on the Defence Forces 11.5.2007/551</w:t>
      </w:r>
    </w:p>
    <w:p w:rsidR="00CA1321" w:rsidRPr="001F2F9B" w:rsidRDefault="00CA1321" w:rsidP="00CA1321">
      <w:pPr>
        <w:spacing w:after="120"/>
        <w:rPr>
          <w:rStyle w:val="Hervorhebung"/>
          <w:i w:val="0"/>
        </w:rPr>
      </w:pPr>
      <w:r w:rsidRPr="001F2F9B">
        <w:rPr>
          <w:rStyle w:val="Hervorhebung"/>
        </w:rPr>
        <w:t>Act on the Delimitation of the Territorial Waters of Finland 18.8.1956/463</w:t>
      </w:r>
    </w:p>
    <w:p w:rsidR="00CA1321" w:rsidRPr="001F2F9B" w:rsidRDefault="00CA1321" w:rsidP="00CA1321">
      <w:pPr>
        <w:spacing w:after="120"/>
        <w:rPr>
          <w:rStyle w:val="Hervorhebung"/>
          <w:i w:val="0"/>
        </w:rPr>
      </w:pPr>
      <w:r w:rsidRPr="001F2F9B">
        <w:rPr>
          <w:rStyle w:val="Hervorhebung"/>
        </w:rPr>
        <w:t>Act on the Emergency Services College 21.7.2006/607</w:t>
      </w:r>
    </w:p>
    <w:p w:rsidR="00CA1321" w:rsidRPr="001F2F9B" w:rsidRDefault="00CA1321" w:rsidP="00CA1321">
      <w:pPr>
        <w:spacing w:after="120"/>
        <w:rPr>
          <w:rStyle w:val="Hervorhebung"/>
          <w:i w:val="0"/>
        </w:rPr>
      </w:pPr>
      <w:r w:rsidRPr="001F2F9B">
        <w:rPr>
          <w:rStyle w:val="Hervorhebung"/>
        </w:rPr>
        <w:t>Act on the Finnish Meteorological Institute 19.12.2008/957</w:t>
      </w:r>
    </w:p>
    <w:p w:rsidR="00CA1321" w:rsidRPr="001F2F9B" w:rsidRDefault="00CA1321" w:rsidP="00CA1321">
      <w:pPr>
        <w:spacing w:after="120"/>
        <w:rPr>
          <w:rStyle w:val="Hervorhebung"/>
          <w:i w:val="0"/>
        </w:rPr>
      </w:pPr>
      <w:r w:rsidRPr="001F2F9B">
        <w:rPr>
          <w:rStyle w:val="Hervorhebung"/>
        </w:rPr>
        <w:t>Act on the Finnish Red Cross 25.2.2000/238</w:t>
      </w:r>
    </w:p>
    <w:p w:rsidR="00CA1321" w:rsidRPr="001F2F9B" w:rsidRDefault="00CA1321" w:rsidP="00CA1321">
      <w:pPr>
        <w:spacing w:after="120"/>
        <w:rPr>
          <w:rStyle w:val="Hervorhebung"/>
          <w:i w:val="0"/>
        </w:rPr>
      </w:pPr>
      <w:r w:rsidRPr="001F2F9B">
        <w:rPr>
          <w:rStyle w:val="Hervorhebung"/>
        </w:rPr>
        <w:t>Act on the Formation of Rescue Service Regions 1214/2001</w:t>
      </w:r>
    </w:p>
    <w:p w:rsidR="00CA1321" w:rsidRPr="001F2F9B" w:rsidRDefault="00CA1321" w:rsidP="00CA1321">
      <w:pPr>
        <w:tabs>
          <w:tab w:val="left" w:pos="4536"/>
        </w:tabs>
        <w:spacing w:after="120"/>
      </w:pPr>
      <w:r w:rsidRPr="001F2F9B">
        <w:t>Act on the Openness of Government Activities 21.5.1999/621</w:t>
      </w:r>
    </w:p>
    <w:p w:rsidR="00CA1321" w:rsidRPr="001F2F9B" w:rsidRDefault="00CA1321" w:rsidP="00CA1321">
      <w:pPr>
        <w:tabs>
          <w:tab w:val="left" w:pos="4536"/>
        </w:tabs>
        <w:spacing w:after="120"/>
      </w:pPr>
      <w:r w:rsidRPr="001F2F9B">
        <w:t>Act on the Participation of Civilian Personnel in Crisis Management 30.12.2004/1287</w:t>
      </w:r>
    </w:p>
    <w:p w:rsidR="00CA1321" w:rsidRPr="001F2F9B" w:rsidRDefault="00CA1321" w:rsidP="00CA1321">
      <w:pPr>
        <w:tabs>
          <w:tab w:val="left" w:pos="4536"/>
        </w:tabs>
        <w:spacing w:after="120"/>
      </w:pPr>
      <w:r w:rsidRPr="001F2F9B">
        <w:t>Act on the Provision of Assistance by the Defence Forces to the Police 5.12.1980/781</w:t>
      </w:r>
    </w:p>
    <w:p w:rsidR="00CA1321" w:rsidRPr="001F2F9B" w:rsidRDefault="00CA1321" w:rsidP="00CA1321">
      <w:pPr>
        <w:tabs>
          <w:tab w:val="left" w:pos="4536"/>
        </w:tabs>
        <w:spacing w:after="120"/>
      </w:pPr>
      <w:r w:rsidRPr="001F2F9B">
        <w:t>Act on the Recognition of Professional Qualifications 30.11.2007/1093</w:t>
      </w:r>
    </w:p>
    <w:p w:rsidR="00CA1321" w:rsidRPr="001F2F9B" w:rsidRDefault="00CA1321" w:rsidP="00CA1321">
      <w:pPr>
        <w:tabs>
          <w:tab w:val="left" w:pos="4536"/>
        </w:tabs>
        <w:spacing w:after="120"/>
      </w:pPr>
      <w:r w:rsidRPr="001F2F9B">
        <w:t>Act on the Use of Certain Internationally Protected Symbols 21.12.1979/947</w:t>
      </w:r>
    </w:p>
    <w:p w:rsidR="00CA1321" w:rsidRPr="001F2F9B" w:rsidRDefault="00CA1321" w:rsidP="00CA1321">
      <w:pPr>
        <w:tabs>
          <w:tab w:val="left" w:pos="4536"/>
        </w:tabs>
        <w:spacing w:after="120"/>
      </w:pPr>
      <w:r w:rsidRPr="001F2F9B">
        <w:t>Act on Voluntary National Defence 11.5.2007/556</w:t>
      </w:r>
    </w:p>
    <w:p w:rsidR="00CA1321" w:rsidRPr="001F2F9B" w:rsidRDefault="00CA1321" w:rsidP="00CA1321">
      <w:pPr>
        <w:tabs>
          <w:tab w:val="left" w:pos="4536"/>
        </w:tabs>
        <w:spacing w:after="120"/>
      </w:pPr>
      <w:r w:rsidRPr="001F2F9B">
        <w:t>Aliens Act 30.4.2004/301</w:t>
      </w:r>
    </w:p>
    <w:p w:rsidR="00CA1321" w:rsidRPr="001F2F9B" w:rsidRDefault="00CA1321" w:rsidP="00CA1321">
      <w:pPr>
        <w:tabs>
          <w:tab w:val="left" w:pos="4536"/>
        </w:tabs>
        <w:spacing w:after="120"/>
      </w:pPr>
      <w:r w:rsidRPr="001F2F9B">
        <w:t>Associations Act 26.5.1989/503</w:t>
      </w:r>
    </w:p>
    <w:p w:rsidR="00CA1321" w:rsidRPr="001F2F9B" w:rsidRDefault="00CA1321" w:rsidP="00CA1321">
      <w:pPr>
        <w:tabs>
          <w:tab w:val="left" w:pos="4536"/>
        </w:tabs>
        <w:spacing w:after="120"/>
      </w:pPr>
      <w:r w:rsidRPr="001F2F9B">
        <w:t>Border Guard Act 15.7.2005/578</w:t>
      </w:r>
    </w:p>
    <w:p w:rsidR="00CA1321" w:rsidRPr="001F2F9B" w:rsidRDefault="00CA1321" w:rsidP="00CA1321">
      <w:pPr>
        <w:tabs>
          <w:tab w:val="left" w:pos="4536"/>
        </w:tabs>
        <w:spacing w:after="120"/>
      </w:pPr>
      <w:r w:rsidRPr="001F2F9B">
        <w:t>Communicable Diseases Act 25.7.1986/583</w:t>
      </w:r>
    </w:p>
    <w:p w:rsidR="00CA1321" w:rsidRPr="001F2F9B" w:rsidRDefault="00CA1321" w:rsidP="00CA1321">
      <w:pPr>
        <w:tabs>
          <w:tab w:val="left" w:pos="4536"/>
        </w:tabs>
        <w:spacing w:after="120"/>
      </w:pPr>
      <w:r w:rsidRPr="001F2F9B">
        <w:lastRenderedPageBreak/>
        <w:t>Communications Market Act 23.5.2003/393</w:t>
      </w:r>
    </w:p>
    <w:p w:rsidR="00CA1321" w:rsidRPr="001F2F9B" w:rsidRDefault="00CA1321" w:rsidP="00CA1321">
      <w:pPr>
        <w:tabs>
          <w:tab w:val="left" w:pos="4536"/>
        </w:tabs>
        <w:spacing w:after="120"/>
      </w:pPr>
      <w:r w:rsidRPr="001F2F9B">
        <w:t>Customs Act 29.12.1994/1466</w:t>
      </w:r>
    </w:p>
    <w:p w:rsidR="00CA1321" w:rsidRPr="001F2F9B" w:rsidRDefault="00CA1321" w:rsidP="00CA1321">
      <w:pPr>
        <w:tabs>
          <w:tab w:val="left" w:pos="4536"/>
        </w:tabs>
        <w:spacing w:after="120"/>
        <w:rPr>
          <w:rStyle w:val="Hervorhebung"/>
        </w:rPr>
      </w:pPr>
      <w:r w:rsidRPr="001F2F9B">
        <w:rPr>
          <w:rStyle w:val="Hervorhebung"/>
        </w:rPr>
        <w:t>Emergency Powers Act 29.12.2011/1552</w:t>
      </w:r>
    </w:p>
    <w:p w:rsidR="00CA1321" w:rsidRPr="001F2F9B" w:rsidRDefault="00CA1321" w:rsidP="00CA1321">
      <w:pPr>
        <w:tabs>
          <w:tab w:val="left" w:pos="4536"/>
        </w:tabs>
        <w:spacing w:after="120"/>
        <w:rPr>
          <w:rStyle w:val="Hervorhebung"/>
          <w:i w:val="0"/>
        </w:rPr>
      </w:pPr>
      <w:r w:rsidRPr="001F2F9B">
        <w:rPr>
          <w:rStyle w:val="Hervorhebung"/>
        </w:rPr>
        <w:t>Emergency Warnings Act 10.8.2012/466</w:t>
      </w:r>
    </w:p>
    <w:p w:rsidR="00CA1321" w:rsidRPr="001F2F9B" w:rsidRDefault="00CA1321" w:rsidP="00CA1321">
      <w:pPr>
        <w:tabs>
          <w:tab w:val="left" w:pos="4536"/>
        </w:tabs>
        <w:spacing w:after="120"/>
      </w:pPr>
      <w:r w:rsidRPr="001F2F9B">
        <w:t>Employment Accidents Insurance Act 20.8.1948/608</w:t>
      </w:r>
    </w:p>
    <w:p w:rsidR="00CA1321" w:rsidRPr="001F2F9B" w:rsidRDefault="00CA1321" w:rsidP="00CA1321">
      <w:pPr>
        <w:tabs>
          <w:tab w:val="left" w:pos="4536"/>
        </w:tabs>
        <w:spacing w:after="120"/>
      </w:pPr>
      <w:r w:rsidRPr="001F2F9B">
        <w:t>Excise Taxation Act 182/2010</w:t>
      </w:r>
    </w:p>
    <w:p w:rsidR="00CA1321" w:rsidRPr="001F2F9B" w:rsidRDefault="00CA1321" w:rsidP="00CA1321">
      <w:pPr>
        <w:tabs>
          <w:tab w:val="left" w:pos="4536"/>
        </w:tabs>
        <w:spacing w:after="120"/>
      </w:pPr>
      <w:r w:rsidRPr="001F2F9B">
        <w:t>Government Decree on Civil Defence Shelters 5.5.2011/408</w:t>
      </w:r>
    </w:p>
    <w:p w:rsidR="00CA1321" w:rsidRPr="001F2F9B" w:rsidRDefault="00CA1321" w:rsidP="00CA1321">
      <w:pPr>
        <w:tabs>
          <w:tab w:val="left" w:pos="4536"/>
        </w:tabs>
        <w:spacing w:after="120"/>
      </w:pPr>
      <w:r w:rsidRPr="001F2F9B">
        <w:t>Government Decree on Money Collections 21.6.2006/503</w:t>
      </w:r>
    </w:p>
    <w:p w:rsidR="00CA1321" w:rsidRPr="001F2F9B" w:rsidRDefault="00CA1321" w:rsidP="00CA1321">
      <w:pPr>
        <w:tabs>
          <w:tab w:val="left" w:pos="4536"/>
        </w:tabs>
        <w:spacing w:after="120"/>
      </w:pPr>
      <w:r w:rsidRPr="001F2F9B">
        <w:t>Government Decree on Personal Import of Medicinal Products into Finland 1088/2002</w:t>
      </w:r>
    </w:p>
    <w:p w:rsidR="00CA1321" w:rsidRPr="001F2F9B" w:rsidRDefault="00CA1321" w:rsidP="00CA1321">
      <w:pPr>
        <w:tabs>
          <w:tab w:val="left" w:pos="4536"/>
        </w:tabs>
        <w:spacing w:after="120"/>
      </w:pPr>
      <w:r w:rsidRPr="001F2F9B">
        <w:t>Government Decree on Rescue Services 5.5.2011/407</w:t>
      </w:r>
    </w:p>
    <w:p w:rsidR="00CA1321" w:rsidRPr="001F2F9B" w:rsidRDefault="00CA1321" w:rsidP="00CA1321">
      <w:pPr>
        <w:tabs>
          <w:tab w:val="left" w:pos="4536"/>
        </w:tabs>
        <w:spacing w:after="120"/>
      </w:pPr>
      <w:r w:rsidRPr="001F2F9B">
        <w:t>Government Decree on the Equipment and Supplies in Civil Defence Shelters 5.5.2011/409</w:t>
      </w:r>
    </w:p>
    <w:p w:rsidR="00CA1321" w:rsidRPr="001F2F9B" w:rsidRDefault="00CA1321" w:rsidP="00CA1321">
      <w:pPr>
        <w:tabs>
          <w:tab w:val="left" w:pos="4536"/>
        </w:tabs>
        <w:spacing w:after="120"/>
      </w:pPr>
      <w:r w:rsidRPr="001F2F9B">
        <w:t>Government Decree on the Safety Committee (77/2013)</w:t>
      </w:r>
    </w:p>
    <w:p w:rsidR="00CA1321" w:rsidRPr="001F2F9B" w:rsidRDefault="00CA1321" w:rsidP="00CA1321">
      <w:pPr>
        <w:tabs>
          <w:tab w:val="left" w:pos="4536"/>
        </w:tabs>
        <w:spacing w:after="120"/>
      </w:pPr>
      <w:r w:rsidRPr="001F2F9B">
        <w:t>Government Resolution on Security of Supply 21.8.2008/539</w:t>
      </w:r>
    </w:p>
    <w:p w:rsidR="00CA1321" w:rsidRPr="001F2F9B" w:rsidRDefault="00CA1321" w:rsidP="00CA1321">
      <w:pPr>
        <w:tabs>
          <w:tab w:val="left" w:pos="4536"/>
        </w:tabs>
        <w:spacing w:after="120"/>
      </w:pPr>
      <w:r w:rsidRPr="001F2F9B">
        <w:t>Government Rules of Procedure 3.4.2003/262</w:t>
      </w:r>
    </w:p>
    <w:p w:rsidR="00CA1321" w:rsidRPr="001F2F9B" w:rsidRDefault="00CA1321" w:rsidP="00CA1321">
      <w:pPr>
        <w:tabs>
          <w:tab w:val="left" w:pos="4536"/>
        </w:tabs>
        <w:spacing w:after="120"/>
      </w:pPr>
      <w:r w:rsidRPr="001F2F9B">
        <w:t>Income Tax Act 30.12.1992/1535</w:t>
      </w:r>
    </w:p>
    <w:p w:rsidR="00CA1321" w:rsidRPr="001F2F9B" w:rsidRDefault="00CA1321" w:rsidP="00CA1321">
      <w:pPr>
        <w:tabs>
          <w:tab w:val="left" w:pos="4536"/>
        </w:tabs>
        <w:spacing w:after="120"/>
      </w:pPr>
      <w:r w:rsidRPr="001F2F9B">
        <w:t>Medicines Act 10.4.1987/395</w:t>
      </w:r>
    </w:p>
    <w:p w:rsidR="00CA1321" w:rsidRPr="001F2F9B" w:rsidRDefault="00CA1321" w:rsidP="00CA1321">
      <w:pPr>
        <w:tabs>
          <w:tab w:val="left" w:pos="4536"/>
        </w:tabs>
        <w:spacing w:after="120"/>
      </w:pPr>
      <w:r w:rsidRPr="001F2F9B">
        <w:t>Ministry for Foreign Affairs Rules of Procedure 28.8.2008/550</w:t>
      </w:r>
    </w:p>
    <w:p w:rsidR="00CA1321" w:rsidRPr="001F2F9B" w:rsidRDefault="00CA1321" w:rsidP="00CA1321">
      <w:pPr>
        <w:tabs>
          <w:tab w:val="left" w:pos="4536"/>
        </w:tabs>
        <w:spacing w:after="120"/>
      </w:pPr>
      <w:r w:rsidRPr="001F2F9B">
        <w:t>Money Collection Act 31.3.2006/255</w:t>
      </w:r>
    </w:p>
    <w:p w:rsidR="00CA1321" w:rsidRPr="001F2F9B" w:rsidRDefault="00CA1321" w:rsidP="00CA1321">
      <w:pPr>
        <w:tabs>
          <w:tab w:val="left" w:pos="4536"/>
        </w:tabs>
        <w:spacing w:after="120"/>
      </w:pPr>
      <w:r w:rsidRPr="001F2F9B">
        <w:t>Notification on the application of the Schengen acquis, Ministry for Foreign Affairs of Finland, 23/2001</w:t>
      </w:r>
    </w:p>
    <w:p w:rsidR="00CA1321" w:rsidRPr="001F2F9B" w:rsidRDefault="00CA1321" w:rsidP="00CA1321">
      <w:pPr>
        <w:tabs>
          <w:tab w:val="left" w:pos="4536"/>
        </w:tabs>
        <w:spacing w:after="120"/>
      </w:pPr>
      <w:r w:rsidRPr="001F2F9B">
        <w:rPr>
          <w:rStyle w:val="Hervorhebung"/>
        </w:rPr>
        <w:t>Nuclear Energy Act</w:t>
      </w:r>
      <w:r w:rsidRPr="001F2F9B">
        <w:t xml:space="preserve"> 11.12.1987/990</w:t>
      </w:r>
    </w:p>
    <w:p w:rsidR="00CA1321" w:rsidRPr="001F2F9B" w:rsidRDefault="00CA1321" w:rsidP="00CA1321">
      <w:pPr>
        <w:tabs>
          <w:tab w:val="left" w:pos="4536"/>
        </w:tabs>
        <w:spacing w:after="120"/>
      </w:pPr>
      <w:r w:rsidRPr="001F2F9B">
        <w:t>Personal Data Act 22.4.1999/523</w:t>
      </w:r>
    </w:p>
    <w:p w:rsidR="00CA1321" w:rsidRPr="001F2F9B" w:rsidRDefault="00CA1321" w:rsidP="00CA1321">
      <w:pPr>
        <w:spacing w:after="120"/>
      </w:pPr>
      <w:r w:rsidRPr="001F2F9B">
        <w:rPr>
          <w:rStyle w:val="Hervorhebung"/>
        </w:rPr>
        <w:t>Police Act 7.4.1995/493</w:t>
      </w:r>
      <w:r w:rsidRPr="001F2F9B">
        <w:t xml:space="preserve"> (annulled on 31 December 2013); Police Act 872/2011 took effect on 1 January 2014</w:t>
      </w:r>
    </w:p>
    <w:p w:rsidR="00CA1321" w:rsidRPr="001F2F9B" w:rsidRDefault="00CA1321" w:rsidP="00CA1321">
      <w:pPr>
        <w:tabs>
          <w:tab w:val="left" w:pos="4536"/>
        </w:tabs>
        <w:spacing w:after="120"/>
      </w:pPr>
      <w:r w:rsidRPr="001F2F9B">
        <w:t>Railway Act (304/2011)</w:t>
      </w:r>
    </w:p>
    <w:p w:rsidR="00CA1321" w:rsidRPr="001F2F9B" w:rsidRDefault="00CA1321" w:rsidP="00CA1321">
      <w:pPr>
        <w:tabs>
          <w:tab w:val="left" w:pos="4536"/>
        </w:tabs>
        <w:spacing w:after="120"/>
        <w:rPr>
          <w:rStyle w:val="Hervorhebung"/>
        </w:rPr>
      </w:pPr>
      <w:r w:rsidRPr="001F2F9B">
        <w:rPr>
          <w:rStyle w:val="Hervorhebung"/>
        </w:rPr>
        <w:t>Rescue Act 29.4.2011/379</w:t>
      </w:r>
    </w:p>
    <w:p w:rsidR="00CA1321" w:rsidRPr="001F2F9B" w:rsidRDefault="00CA1321" w:rsidP="00CA1321">
      <w:pPr>
        <w:tabs>
          <w:tab w:val="left" w:pos="4536"/>
        </w:tabs>
        <w:spacing w:after="120"/>
        <w:rPr>
          <w:rStyle w:val="Hervorhebung"/>
        </w:rPr>
      </w:pPr>
      <w:r w:rsidRPr="001F2F9B">
        <w:rPr>
          <w:rStyle w:val="Hervorhebung"/>
        </w:rPr>
        <w:t>Security of Supply Act 18.12.1992/1390</w:t>
      </w:r>
    </w:p>
    <w:p w:rsidR="00CA1321" w:rsidRPr="001F2F9B" w:rsidRDefault="00CA1321" w:rsidP="00CA1321">
      <w:pPr>
        <w:tabs>
          <w:tab w:val="left" w:pos="4536"/>
        </w:tabs>
        <w:spacing w:after="120"/>
      </w:pPr>
      <w:r w:rsidRPr="001F2F9B">
        <w:t>Social Welfare Act 17.9.1982/710</w:t>
      </w:r>
    </w:p>
    <w:p w:rsidR="00CA1321" w:rsidRPr="001F2F9B" w:rsidRDefault="00CA1321" w:rsidP="00CA1321">
      <w:pPr>
        <w:tabs>
          <w:tab w:val="left" w:pos="4536"/>
        </w:tabs>
        <w:spacing w:after="120"/>
        <w:rPr>
          <w:rStyle w:val="Hervorhebung"/>
        </w:rPr>
      </w:pPr>
      <w:r w:rsidRPr="001F2F9B">
        <w:rPr>
          <w:rStyle w:val="Hervorhebung"/>
        </w:rPr>
        <w:t>State of Defence Act 22.7.1991/1083</w:t>
      </w:r>
    </w:p>
    <w:p w:rsidR="00CA1321" w:rsidRPr="001F2F9B" w:rsidRDefault="00CA1321" w:rsidP="00CA1321">
      <w:pPr>
        <w:tabs>
          <w:tab w:val="left" w:pos="4536"/>
        </w:tabs>
        <w:spacing w:after="120"/>
      </w:pPr>
      <w:r w:rsidRPr="001F2F9B">
        <w:t>Territorial Surveillance Act 18.8.2000/755</w:t>
      </w:r>
    </w:p>
    <w:p w:rsidR="00CA1321" w:rsidRPr="001F2F9B" w:rsidRDefault="00CA1321" w:rsidP="00CA1321">
      <w:pPr>
        <w:tabs>
          <w:tab w:val="left" w:pos="4536"/>
        </w:tabs>
        <w:spacing w:after="120"/>
        <w:rPr>
          <w:rStyle w:val="Hervorhebung"/>
        </w:rPr>
      </w:pPr>
      <w:r w:rsidRPr="001F2F9B">
        <w:rPr>
          <w:rStyle w:val="Hervorhebung"/>
        </w:rPr>
        <w:t>The Constitution of Finland 11.6.1999/731</w:t>
      </w:r>
    </w:p>
    <w:p w:rsidR="00CA1321" w:rsidRPr="001F2F9B" w:rsidRDefault="00CA1321" w:rsidP="00CA1321">
      <w:pPr>
        <w:tabs>
          <w:tab w:val="left" w:pos="4536"/>
        </w:tabs>
        <w:spacing w:after="120"/>
      </w:pPr>
      <w:r w:rsidRPr="001F2F9B">
        <w:t>Tort Liability Act 31.5.1974/412</w:t>
      </w:r>
    </w:p>
    <w:p w:rsidR="00CA1321" w:rsidRPr="001F2F9B" w:rsidRDefault="00CA1321" w:rsidP="00CA1321">
      <w:pPr>
        <w:tabs>
          <w:tab w:val="left" w:pos="4536"/>
        </w:tabs>
        <w:spacing w:after="120"/>
      </w:pPr>
      <w:r w:rsidRPr="001F2F9B">
        <w:t>Value Added Tax Act 30.12.1993/1501</w:t>
      </w:r>
    </w:p>
    <w:p w:rsidR="00CA1321" w:rsidRPr="001F2F9B" w:rsidRDefault="00CA1321" w:rsidP="00CA1321">
      <w:pPr>
        <w:tabs>
          <w:tab w:val="left" w:pos="4536"/>
        </w:tabs>
        <w:rPr>
          <w:rStyle w:val="Hervorhebung"/>
        </w:rPr>
      </w:pPr>
      <w:r w:rsidRPr="001F2F9B">
        <w:rPr>
          <w:rStyle w:val="Hervorhebung"/>
        </w:rPr>
        <w:t>also found:</w:t>
      </w:r>
    </w:p>
    <w:p w:rsidR="00CA1321" w:rsidRPr="001F2F9B" w:rsidRDefault="00CA1321" w:rsidP="00CA1321">
      <w:pPr>
        <w:tabs>
          <w:tab w:val="left" w:pos="4536"/>
        </w:tabs>
        <w:jc w:val="left"/>
      </w:pPr>
      <w:r w:rsidRPr="001F2F9B">
        <w:lastRenderedPageBreak/>
        <w:t xml:space="preserve">Climate Change Act (609/2015) http://www.ym.fi/en-us/The_environment/Legislation_and_instructions/Climate_change_legislation </w:t>
      </w:r>
    </w:p>
    <w:p w:rsidR="00CA1321" w:rsidRPr="001F2F9B" w:rsidRDefault="00CA1321" w:rsidP="00CA1321">
      <w:pPr>
        <w:tabs>
          <w:tab w:val="left" w:pos="4536"/>
        </w:tabs>
      </w:pPr>
      <w:r w:rsidRPr="001F2F9B">
        <w:t>Dam Safety Act 494/2009</w:t>
      </w:r>
    </w:p>
    <w:p w:rsidR="00CA1321" w:rsidRPr="001F2F9B" w:rsidRDefault="00CA1321" w:rsidP="00CA1321">
      <w:pPr>
        <w:tabs>
          <w:tab w:val="left" w:pos="4536"/>
        </w:tabs>
      </w:pPr>
      <w:r w:rsidRPr="001F2F9B">
        <w:t>Government Decree on Emergency Response Arrangements at Nuclear Power Plants 735/2008</w:t>
      </w:r>
    </w:p>
    <w:p w:rsidR="00CA1321" w:rsidRPr="001F2F9B" w:rsidRDefault="00CA1321" w:rsidP="00CA1321">
      <w:pPr>
        <w:tabs>
          <w:tab w:val="left" w:pos="4536"/>
        </w:tabs>
      </w:pPr>
      <w:r w:rsidRPr="001F2F9B">
        <w:t>Draft 3, 2.11.2010 Nuclear Power Plant Emergency Prepardness</w:t>
      </w:r>
    </w:p>
    <w:p w:rsidR="00CA1321" w:rsidRPr="001F2F9B" w:rsidRDefault="00CA1321" w:rsidP="00CA1321">
      <w:pPr>
        <w:tabs>
          <w:tab w:val="left" w:pos="4536"/>
        </w:tabs>
      </w:pPr>
    </w:p>
    <w:p w:rsidR="00CA1321" w:rsidRPr="001F2F9B" w:rsidRDefault="00CA1321" w:rsidP="00CA1321">
      <w:pPr>
        <w:pStyle w:val="berschrift2"/>
        <w:numPr>
          <w:ilvl w:val="0"/>
          <w:numId w:val="0"/>
        </w:numPr>
        <w:rPr>
          <w:rFonts w:cs="Times New Roman"/>
          <w:lang w:val="en-GB"/>
        </w:rPr>
      </w:pPr>
      <w:bookmarkStart w:id="189" w:name="_Toc444087660"/>
      <w:bookmarkStart w:id="190" w:name="_Toc444176233"/>
      <w:bookmarkStart w:id="191" w:name="_Toc445378556"/>
      <w:r w:rsidRPr="001F2F9B">
        <w:rPr>
          <w:lang w:val="en-GB"/>
        </w:rPr>
        <w:t>Other normative acts</w:t>
      </w:r>
      <w:bookmarkEnd w:id="189"/>
      <w:bookmarkEnd w:id="190"/>
      <w:bookmarkEnd w:id="191"/>
    </w:p>
    <w:p w:rsidR="00CA1321" w:rsidRPr="001F2F9B" w:rsidRDefault="00CA1321" w:rsidP="00CA1321">
      <w:pPr>
        <w:tabs>
          <w:tab w:val="left" w:pos="4536"/>
        </w:tabs>
      </w:pPr>
    </w:p>
    <w:p w:rsidR="00CA1321" w:rsidRPr="001F2F9B" w:rsidRDefault="00CA1321" w:rsidP="00CA1321">
      <w:pPr>
        <w:pStyle w:val="berschrift2"/>
        <w:numPr>
          <w:ilvl w:val="0"/>
          <w:numId w:val="0"/>
        </w:numPr>
        <w:rPr>
          <w:lang w:val="en-GB"/>
        </w:rPr>
      </w:pPr>
      <w:bookmarkStart w:id="192" w:name="_Toc444087661"/>
      <w:bookmarkStart w:id="193" w:name="_Toc444176234"/>
      <w:bookmarkStart w:id="194" w:name="_Toc445378557"/>
      <w:r w:rsidRPr="001F2F9B">
        <w:rPr>
          <w:lang w:val="en-GB"/>
        </w:rPr>
        <w:t>Official documents (white papers, strategies, etc.)</w:t>
      </w:r>
      <w:bookmarkEnd w:id="192"/>
      <w:bookmarkEnd w:id="193"/>
      <w:bookmarkEnd w:id="194"/>
    </w:p>
    <w:p w:rsidR="00CA1321" w:rsidRPr="001F2F9B" w:rsidRDefault="00CA1321" w:rsidP="00CA1321">
      <w:pPr>
        <w:spacing w:after="240"/>
      </w:pPr>
      <w:r w:rsidRPr="001F2F9B">
        <w:t xml:space="preserve">Secretariat of the Security and Defence Committee. </w:t>
      </w:r>
      <w:r w:rsidRPr="001F2F9B">
        <w:rPr>
          <w:i/>
        </w:rPr>
        <w:t>Finland’s Cyber Security Strategy</w:t>
      </w:r>
      <w:r w:rsidRPr="001F2F9B">
        <w:t xml:space="preserve">. Government Resolution 24.1.2013. Helsinki </w:t>
      </w:r>
    </w:p>
    <w:p w:rsidR="00CA1321" w:rsidRPr="001F2F9B" w:rsidRDefault="00CA1321" w:rsidP="00CA1321">
      <w:pPr>
        <w:spacing w:after="240"/>
      </w:pPr>
      <w:r w:rsidRPr="001F2F9B">
        <w:t xml:space="preserve">Ministry of Agriculture and Forestry. </w:t>
      </w:r>
      <w:r w:rsidRPr="001F2F9B">
        <w:rPr>
          <w:i/>
        </w:rPr>
        <w:t>Finland’s National Strategy for Adaptation to Climate Change</w:t>
      </w:r>
      <w:r w:rsidRPr="001F2F9B">
        <w:t>. Publications 1a/2005. Helsinki 2005</w:t>
      </w:r>
    </w:p>
    <w:p w:rsidR="00CA1321" w:rsidRPr="001F2F9B" w:rsidRDefault="00CA1321" w:rsidP="00CA1321">
      <w:pPr>
        <w:spacing w:after="120"/>
      </w:pPr>
      <w:r w:rsidRPr="001F2F9B">
        <w:t xml:space="preserve">Ministry of Agriculture and Forestry. </w:t>
      </w:r>
      <w:r w:rsidRPr="001F2F9B">
        <w:rPr>
          <w:i/>
        </w:rPr>
        <w:t>Finland’s National Climate Change Adaptation Plan 2022</w:t>
      </w:r>
      <w:r w:rsidRPr="001F2F9B">
        <w:t xml:space="preserve">. Government Resolution 20.11.2014. Helsinki 2014 </w:t>
      </w:r>
    </w:p>
    <w:p w:rsidR="00CA1321" w:rsidRPr="001F2F9B" w:rsidRDefault="00CA1321" w:rsidP="00CA1321">
      <w:pPr>
        <w:spacing w:after="120"/>
      </w:pPr>
      <w:r w:rsidRPr="001F2F9B">
        <w:t xml:space="preserve">Ministry of Agriculture and Forestry. </w:t>
      </w:r>
      <w:r w:rsidRPr="001F2F9B">
        <w:rPr>
          <w:i/>
        </w:rPr>
        <w:t>Rural Development Programme for Mainland Finland 2014–2020.</w:t>
      </w:r>
      <w:r w:rsidRPr="001F2F9B">
        <w:t xml:space="preserve"> Unofficial translation 2014</w:t>
      </w:r>
    </w:p>
    <w:p w:rsidR="00CA1321" w:rsidRPr="001F2F9B" w:rsidRDefault="00CA1321" w:rsidP="00CA1321">
      <w:pPr>
        <w:spacing w:after="240"/>
      </w:pPr>
      <w:r w:rsidRPr="001F2F9B">
        <w:t xml:space="preserve">Ministry of Defence. </w:t>
      </w:r>
      <w:r w:rsidRPr="001F2F9B">
        <w:rPr>
          <w:i/>
        </w:rPr>
        <w:t>Security Strategy for Society</w:t>
      </w:r>
      <w:r w:rsidRPr="001F2F9B">
        <w:t>. Government Resolution 16.12.2010. Helsinki 2010</w:t>
      </w:r>
    </w:p>
    <w:p w:rsidR="00CA1321" w:rsidRPr="001F2F9B" w:rsidRDefault="00CA1321" w:rsidP="00CA1321">
      <w:pPr>
        <w:spacing w:after="240"/>
      </w:pPr>
      <w:r w:rsidRPr="001F2F9B">
        <w:t xml:space="preserve">Ministry of Foreign Affairs. </w:t>
      </w:r>
      <w:r w:rsidRPr="001F2F9B">
        <w:rPr>
          <w:i/>
        </w:rPr>
        <w:t>Finland’s Comprehensive Crisis Management Strategy</w:t>
      </w:r>
      <w:r w:rsidRPr="001F2F9B">
        <w:t>. 2009</w:t>
      </w:r>
    </w:p>
    <w:p w:rsidR="00CA1321" w:rsidRPr="001F2F9B" w:rsidRDefault="00CA1321" w:rsidP="00CA1321">
      <w:pPr>
        <w:spacing w:after="240"/>
      </w:pPr>
      <w:r w:rsidRPr="001F2F9B">
        <w:t>Ministry for Foreign Affairs and Ministry of the Interior.</w:t>
      </w:r>
      <w:r w:rsidRPr="001F2F9B">
        <w:rPr>
          <w:i/>
        </w:rPr>
        <w:t xml:space="preserve"> Finland´s National Strategy for Civilian Crisis Management </w:t>
      </w:r>
      <w:r w:rsidRPr="001F2F9B">
        <w:t>– Update. Prime Minister’s Office Publications 10/2014</w:t>
      </w:r>
    </w:p>
    <w:p w:rsidR="00CA1321" w:rsidRPr="001F2F9B" w:rsidRDefault="00CA1321" w:rsidP="00CA1321">
      <w:pPr>
        <w:spacing w:after="240"/>
      </w:pPr>
      <w:r w:rsidRPr="001F2F9B">
        <w:rPr>
          <w:i/>
        </w:rPr>
        <w:t>National Security Research Strategy.</w:t>
      </w:r>
      <w:r w:rsidRPr="001F2F9B">
        <w:t xml:space="preserve"> Advisory Board for Sectoral Research 18:2009.</w:t>
      </w:r>
    </w:p>
    <w:p w:rsidR="00CA1321" w:rsidRPr="001F2F9B" w:rsidRDefault="00CA1321" w:rsidP="00CA1321">
      <w:pPr>
        <w:spacing w:after="120"/>
      </w:pPr>
      <w:r w:rsidRPr="001F2F9B">
        <w:t>Ministry of the Interior.</w:t>
      </w:r>
      <w:r w:rsidRPr="001F2F9B">
        <w:rPr>
          <w:i/>
        </w:rPr>
        <w:t xml:space="preserve"> Rescue Services Strategy 2015.</w:t>
      </w:r>
      <w:r w:rsidRPr="001F2F9B">
        <w:t xml:space="preserve"> Ministry of the Interior publications 14/2007</w:t>
      </w:r>
    </w:p>
    <w:p w:rsidR="00CA1321" w:rsidRPr="001F2F9B" w:rsidRDefault="00CA1321" w:rsidP="00CA1321">
      <w:pPr>
        <w:spacing w:after="120"/>
      </w:pPr>
      <w:r w:rsidRPr="001F2F9B">
        <w:t xml:space="preserve">Parliament of Finland - Foreign Affairs Committee. </w:t>
      </w:r>
      <w:r w:rsidRPr="001F2F9B">
        <w:rPr>
          <w:i/>
        </w:rPr>
        <w:t>Report on the Government Report on Finnish Security and Defence Policy</w:t>
      </w:r>
      <w:r w:rsidRPr="001F2F9B">
        <w:t>. 2012</w:t>
      </w:r>
    </w:p>
    <w:p w:rsidR="00CA1321" w:rsidRPr="001F2F9B" w:rsidRDefault="00CA1321" w:rsidP="00CA1321">
      <w:pPr>
        <w:spacing w:after="240"/>
      </w:pPr>
      <w:r w:rsidRPr="001F2F9B">
        <w:t xml:space="preserve">Prime Minister’s Office. </w:t>
      </w:r>
      <w:r w:rsidRPr="001F2F9B">
        <w:rPr>
          <w:i/>
        </w:rPr>
        <w:t>Central Government Communications in Incidents and Emergencies</w:t>
      </w:r>
      <w:r w:rsidRPr="001F2F9B">
        <w:t>. Helsinki: Regulations, instructions and recommendations issued by the Prime Minister’s Office 3/2013.</w:t>
      </w:r>
    </w:p>
    <w:p w:rsidR="00CA1321" w:rsidRPr="001F2F9B" w:rsidRDefault="00CA1321" w:rsidP="00CA1321">
      <w:pPr>
        <w:spacing w:after="240"/>
      </w:pPr>
      <w:r w:rsidRPr="001F2F9B">
        <w:t xml:space="preserve">Prime Minister’s Office. </w:t>
      </w:r>
      <w:r w:rsidRPr="001F2F9B">
        <w:rPr>
          <w:i/>
        </w:rPr>
        <w:t>Government Communications in Crisis Situations and Emergencies</w:t>
      </w:r>
      <w:r w:rsidRPr="001F2F9B">
        <w:t>. Helsinki: Prime Minister’s Office Publications 20/2007.</w:t>
      </w:r>
    </w:p>
    <w:p w:rsidR="00CA1321" w:rsidRPr="001F2F9B" w:rsidRDefault="00CA1321" w:rsidP="00CA1321">
      <w:pPr>
        <w:spacing w:after="240"/>
      </w:pPr>
      <w:r w:rsidRPr="001F2F9B">
        <w:t xml:space="preserve">Prime Minister’s Office. </w:t>
      </w:r>
      <w:r w:rsidRPr="001F2F9B">
        <w:rPr>
          <w:i/>
        </w:rPr>
        <w:t>Finnish Security and Defence Policy</w:t>
      </w:r>
      <w:r w:rsidRPr="001F2F9B">
        <w:t xml:space="preserve"> 2012. Government Report. Helsinki: Prime Minister’s Office Publications 1/2013.</w:t>
      </w:r>
    </w:p>
    <w:p w:rsidR="00CA1321" w:rsidRPr="001F2F9B" w:rsidRDefault="00CA1321" w:rsidP="00CA1321">
      <w:pPr>
        <w:spacing w:after="240"/>
      </w:pPr>
      <w:r w:rsidRPr="001F2F9B">
        <w:lastRenderedPageBreak/>
        <w:t xml:space="preserve">Prime Minister’s Office. </w:t>
      </w:r>
      <w:r w:rsidRPr="001F2F9B">
        <w:rPr>
          <w:i/>
        </w:rPr>
        <w:t>Finland’s Strategy for the Arctic Region 2013</w:t>
      </w:r>
      <w:r w:rsidRPr="001F2F9B">
        <w:t xml:space="preserve">. Government Resolution on 23 August 2013. Helsinki: Prime Minister’s Office Publications </w:t>
      </w:r>
      <w:r w:rsidRPr="001F2F9B">
        <w:rPr>
          <w:rFonts w:ascii="FrutigerLT-Cn" w:hAnsi="FrutigerLT-Cn" w:cs="FrutigerLT-Cn"/>
          <w:sz w:val="18"/>
          <w:szCs w:val="18"/>
        </w:rPr>
        <w:t>16/2013</w:t>
      </w:r>
    </w:p>
    <w:p w:rsidR="00CA1321" w:rsidRPr="001F2F9B" w:rsidRDefault="00CA1321" w:rsidP="00CA1321">
      <w:pPr>
        <w:spacing w:after="240"/>
      </w:pPr>
      <w:r w:rsidRPr="001F2F9B">
        <w:t>Valtioneuvoston päätös huoltovarmuuden tavoitteista 5.12.2013. Helsinki: Huoltovarmuuskeskus, Työ- jaelinkeinoministeriö. (</w:t>
      </w:r>
      <w:r w:rsidRPr="001F2F9B">
        <w:rPr>
          <w:i/>
        </w:rPr>
        <w:t>Government Resolution on Safeguarding the Security of Supply</w:t>
      </w:r>
      <w:r w:rsidRPr="001F2F9B">
        <w:t>. Helsinki: National Emergency Supply Agency, Ministry of Employment and the Economy)</w:t>
      </w:r>
    </w:p>
    <w:p w:rsidR="00CA1321" w:rsidRPr="001F2F9B" w:rsidRDefault="00CA1321" w:rsidP="00CA1321">
      <w:pPr>
        <w:spacing w:after="120"/>
      </w:pPr>
    </w:p>
    <w:p w:rsidR="00CA1321" w:rsidRPr="001F2F9B" w:rsidRDefault="00CA1321" w:rsidP="00CA1321">
      <w:pPr>
        <w:pStyle w:val="berschrift2"/>
        <w:numPr>
          <w:ilvl w:val="0"/>
          <w:numId w:val="0"/>
        </w:numPr>
        <w:rPr>
          <w:rFonts w:cs="Times New Roman"/>
          <w:lang w:val="en-GB"/>
        </w:rPr>
      </w:pPr>
      <w:bookmarkStart w:id="195" w:name="_Toc444087662"/>
      <w:bookmarkStart w:id="196" w:name="_Toc444176235"/>
      <w:bookmarkStart w:id="197" w:name="_Toc445378558"/>
      <w:r w:rsidRPr="001F2F9B">
        <w:rPr>
          <w:lang w:val="en-GB"/>
        </w:rPr>
        <w:t>Online resources (e.g. websites of key CM organizations)</w:t>
      </w:r>
      <w:bookmarkEnd w:id="195"/>
      <w:bookmarkEnd w:id="196"/>
      <w:bookmarkEnd w:id="197"/>
    </w:p>
    <w:p w:rsidR="00CA1321" w:rsidRPr="001F2F9B" w:rsidRDefault="00CA1321" w:rsidP="00CA1321">
      <w:pPr>
        <w:tabs>
          <w:tab w:val="left" w:pos="4536"/>
        </w:tabs>
        <w:spacing w:after="240"/>
      </w:pPr>
      <w:r w:rsidRPr="001F2F9B">
        <w:t xml:space="preserve">Arctic Council </w:t>
      </w:r>
      <w:hyperlink r:id="rId24" w:history="1">
        <w:r w:rsidRPr="001F2F9B">
          <w:rPr>
            <w:rStyle w:val="Hyperlink"/>
          </w:rPr>
          <w:t>http://www.arctic-council.org/index.php/en/</w:t>
        </w:r>
      </w:hyperlink>
    </w:p>
    <w:p w:rsidR="00CA1321" w:rsidRPr="001F2F9B" w:rsidRDefault="00CA1321" w:rsidP="00CA1321">
      <w:pPr>
        <w:tabs>
          <w:tab w:val="left" w:pos="4536"/>
        </w:tabs>
        <w:spacing w:after="240"/>
      </w:pPr>
      <w:r w:rsidRPr="001F2F9B">
        <w:t xml:space="preserve">Baltic Marine Environment Protection Commission – HELCOM </w:t>
      </w:r>
      <w:hyperlink r:id="rId25" w:history="1">
        <w:r w:rsidRPr="001F2F9B">
          <w:rPr>
            <w:rStyle w:val="Hyperlink"/>
          </w:rPr>
          <w:t>http://www.helcom.fi/</w:t>
        </w:r>
      </w:hyperlink>
      <w:r w:rsidRPr="001F2F9B">
        <w:t xml:space="preserve"> </w:t>
      </w:r>
    </w:p>
    <w:p w:rsidR="00CA1321" w:rsidRPr="001F2F9B" w:rsidRDefault="00CA1321" w:rsidP="00CA1321">
      <w:pPr>
        <w:tabs>
          <w:tab w:val="left" w:pos="4536"/>
        </w:tabs>
        <w:spacing w:after="240"/>
        <w:rPr>
          <w:rStyle w:val="Hyperlink"/>
        </w:rPr>
      </w:pPr>
      <w:r w:rsidRPr="001F2F9B">
        <w:t xml:space="preserve">Crisis Management Centre Finland </w:t>
      </w:r>
      <w:hyperlink r:id="rId26" w:history="1">
        <w:r w:rsidRPr="001F2F9B">
          <w:rPr>
            <w:rStyle w:val="Hyperlink"/>
          </w:rPr>
          <w:t>http://www.cmcfinland.fi/</w:t>
        </w:r>
      </w:hyperlink>
    </w:p>
    <w:p w:rsidR="00CA1321" w:rsidRPr="001F2F9B" w:rsidRDefault="00CA1321" w:rsidP="00CA1321">
      <w:pPr>
        <w:tabs>
          <w:tab w:val="left" w:pos="4536"/>
        </w:tabs>
        <w:spacing w:after="240"/>
        <w:rPr>
          <w:rStyle w:val="Hyperlink"/>
        </w:rPr>
      </w:pPr>
      <w:r w:rsidRPr="001F2F9B">
        <w:t xml:space="preserve">Emergency Services College: </w:t>
      </w:r>
      <w:hyperlink r:id="rId27" w:history="1">
        <w:r w:rsidRPr="001F2F9B">
          <w:rPr>
            <w:rStyle w:val="Hyperlink"/>
          </w:rPr>
          <w:t>http://www.pelastusopisto.fi/</w:t>
        </w:r>
      </w:hyperlink>
      <w:r w:rsidRPr="001F2F9B">
        <w:rPr>
          <w:rStyle w:val="Hyperlink"/>
        </w:rPr>
        <w:t xml:space="preserve"> (main pages in finish)</w:t>
      </w:r>
    </w:p>
    <w:p w:rsidR="00CA1321" w:rsidRPr="001F2F9B" w:rsidRDefault="00CA1321" w:rsidP="00CA1321">
      <w:pPr>
        <w:tabs>
          <w:tab w:val="left" w:pos="4536"/>
        </w:tabs>
        <w:spacing w:after="240"/>
        <w:jc w:val="left"/>
      </w:pPr>
      <w:r w:rsidRPr="001F2F9B">
        <w:t xml:space="preserve">European Union Strategy for the Baltic Sea Region (EUSBSR) </w:t>
      </w:r>
      <w:hyperlink r:id="rId28" w:history="1">
        <w:r w:rsidRPr="001F2F9B">
          <w:rPr>
            <w:rStyle w:val="Hyperlink"/>
          </w:rPr>
          <w:t>http://www.balticsea-region-strategy.eu/</w:t>
        </w:r>
      </w:hyperlink>
    </w:p>
    <w:p w:rsidR="00CA1321" w:rsidRPr="001F2F9B" w:rsidRDefault="00CA1321" w:rsidP="00CA1321">
      <w:pPr>
        <w:tabs>
          <w:tab w:val="left" w:pos="4536"/>
        </w:tabs>
        <w:spacing w:after="240"/>
      </w:pPr>
      <w:r w:rsidRPr="001F2F9B">
        <w:t xml:space="preserve">Finnish Enviromental Institute SYKE </w:t>
      </w:r>
      <w:hyperlink r:id="rId29" w:history="1">
        <w:r w:rsidRPr="001F2F9B">
          <w:rPr>
            <w:rStyle w:val="Hyperlink"/>
          </w:rPr>
          <w:t>http://www.syke.fi/en-US</w:t>
        </w:r>
      </w:hyperlink>
      <w:r w:rsidRPr="001F2F9B">
        <w:t xml:space="preserve"> </w:t>
      </w:r>
    </w:p>
    <w:p w:rsidR="00CA1321" w:rsidRPr="001F2F9B" w:rsidRDefault="00CA1321" w:rsidP="00CA1321">
      <w:pPr>
        <w:tabs>
          <w:tab w:val="left" w:pos="4536"/>
        </w:tabs>
        <w:spacing w:after="240"/>
      </w:pPr>
      <w:r w:rsidRPr="001F2F9B">
        <w:t xml:space="preserve">Finnish Meteorological Institute FMI </w:t>
      </w:r>
      <w:hyperlink r:id="rId30" w:history="1">
        <w:r w:rsidRPr="001F2F9B">
          <w:rPr>
            <w:rStyle w:val="Hyperlink"/>
          </w:rPr>
          <w:t>http://en.ilmatieteenlaitos.fi/</w:t>
        </w:r>
      </w:hyperlink>
    </w:p>
    <w:p w:rsidR="00CA1321" w:rsidRPr="001F2F9B" w:rsidRDefault="00CA1321" w:rsidP="00CA1321">
      <w:pPr>
        <w:tabs>
          <w:tab w:val="left" w:pos="4536"/>
        </w:tabs>
        <w:spacing w:after="240"/>
        <w:jc w:val="left"/>
      </w:pPr>
      <w:r w:rsidRPr="001F2F9B">
        <w:t xml:space="preserve">Flood Map Service Finland (English version under construction, some translations missing) </w:t>
      </w:r>
      <w:hyperlink r:id="rId31" w:history="1">
        <w:r w:rsidRPr="001F2F9B">
          <w:rPr>
            <w:rStyle w:val="Hyperlink"/>
          </w:rPr>
          <w:t>http://paikkatieto.ymparisto.fi/Html5Viewer_2_2/Index.html?configBase=http://paikkatieto.ymparisto.fi/Geocortex/Essentials/REST/sites/TulvakarttapalveluEN/viewers/HTML5220/virtualdirectory/Resources/Config/Default</w:t>
        </w:r>
      </w:hyperlink>
    </w:p>
    <w:p w:rsidR="00CA1321" w:rsidRPr="001F2F9B" w:rsidRDefault="00CA1321" w:rsidP="00CA1321">
      <w:pPr>
        <w:tabs>
          <w:tab w:val="left" w:pos="4536"/>
        </w:tabs>
        <w:spacing w:after="240"/>
        <w:jc w:val="left"/>
      </w:pPr>
      <w:r w:rsidRPr="001F2F9B">
        <w:t xml:space="preserve">Joint website of Finland’s environmental administration </w:t>
      </w:r>
      <w:hyperlink r:id="rId32" w:history="1">
        <w:r w:rsidRPr="001F2F9B">
          <w:rPr>
            <w:rStyle w:val="Hyperlink"/>
          </w:rPr>
          <w:t>http://www.environment.fi/en-US</w:t>
        </w:r>
      </w:hyperlink>
      <w:r w:rsidRPr="001F2F9B">
        <w:t xml:space="preserve"> (by Ministry of the Environment, SYKE and The Housing and Development Centre of Finland ARA)</w:t>
      </w:r>
    </w:p>
    <w:p w:rsidR="00CA1321" w:rsidRPr="001F2F9B" w:rsidRDefault="00CA1321" w:rsidP="00CA1321">
      <w:pPr>
        <w:tabs>
          <w:tab w:val="left" w:pos="4536"/>
        </w:tabs>
        <w:spacing w:after="240"/>
        <w:rPr>
          <w:rStyle w:val="Hyperlink"/>
        </w:rPr>
      </w:pPr>
      <w:r w:rsidRPr="001F2F9B">
        <w:t xml:space="preserve">Ministry of the Interior: </w:t>
      </w:r>
      <w:hyperlink r:id="rId33" w:history="1">
        <w:r w:rsidRPr="001F2F9B">
          <w:rPr>
            <w:rStyle w:val="Hyperlink"/>
          </w:rPr>
          <w:t>http://www.intermin.fi/</w:t>
        </w:r>
      </w:hyperlink>
      <w:r w:rsidRPr="001F2F9B">
        <w:rPr>
          <w:rStyle w:val="Hyperlink"/>
        </w:rPr>
        <w:t xml:space="preserve"> </w:t>
      </w:r>
    </w:p>
    <w:p w:rsidR="00CA1321" w:rsidRPr="001F2F9B" w:rsidRDefault="00CA1321" w:rsidP="00CA1321">
      <w:pPr>
        <w:tabs>
          <w:tab w:val="left" w:pos="4536"/>
        </w:tabs>
        <w:spacing w:after="240"/>
      </w:pPr>
      <w:r w:rsidRPr="001F2F9B">
        <w:t xml:space="preserve">Ministry for Foreign Affairs: </w:t>
      </w:r>
      <w:hyperlink r:id="rId34" w:history="1">
        <w:r w:rsidRPr="001F2F9B">
          <w:rPr>
            <w:rStyle w:val="Hyperlink"/>
          </w:rPr>
          <w:t>http://www.formin.fi</w:t>
        </w:r>
      </w:hyperlink>
    </w:p>
    <w:p w:rsidR="00CA1321" w:rsidRPr="001F2F9B" w:rsidRDefault="00CA1321" w:rsidP="00CA1321">
      <w:pPr>
        <w:tabs>
          <w:tab w:val="left" w:pos="4536"/>
        </w:tabs>
        <w:spacing w:after="240"/>
        <w:jc w:val="left"/>
      </w:pPr>
      <w:r w:rsidRPr="001F2F9B">
        <w:t xml:space="preserve">Ministry of Defence: </w:t>
      </w:r>
      <w:hyperlink r:id="rId35" w:history="1">
        <w:r w:rsidRPr="001F2F9B">
          <w:rPr>
            <w:rStyle w:val="Hyperlink"/>
          </w:rPr>
          <w:t>http://www.defmin.fi</w:t>
        </w:r>
      </w:hyperlink>
      <w:r w:rsidRPr="001F2F9B">
        <w:t xml:space="preserve"> </w:t>
      </w:r>
    </w:p>
    <w:p w:rsidR="00CA1321" w:rsidRPr="001F2F9B" w:rsidRDefault="00CA1321" w:rsidP="00CA1321">
      <w:pPr>
        <w:tabs>
          <w:tab w:val="left" w:pos="4536"/>
        </w:tabs>
        <w:spacing w:after="240"/>
        <w:jc w:val="left"/>
      </w:pPr>
      <w:r w:rsidRPr="001F2F9B">
        <w:t xml:space="preserve">Ministry of Defense - Secretariat for Defence Committee. </w:t>
      </w:r>
      <w:r w:rsidRPr="001F2F9B">
        <w:rPr>
          <w:i/>
        </w:rPr>
        <w:t>Security in Society</w:t>
      </w:r>
      <w:r w:rsidRPr="001F2F9B">
        <w:t xml:space="preserve"> </w:t>
      </w:r>
      <w:hyperlink r:id="rId36" w:history="1">
        <w:r w:rsidRPr="001F2F9B">
          <w:rPr>
            <w:rStyle w:val="Hyperlink"/>
          </w:rPr>
          <w:t>http://www.yhteiskunnanturvallisuus.fi/en</w:t>
        </w:r>
      </w:hyperlink>
      <w:r w:rsidRPr="001F2F9B">
        <w:t xml:space="preserve"> </w:t>
      </w:r>
    </w:p>
    <w:p w:rsidR="00CA1321" w:rsidRPr="001F2F9B" w:rsidRDefault="00CA1321" w:rsidP="00CA1321">
      <w:pPr>
        <w:tabs>
          <w:tab w:val="left" w:pos="4536"/>
        </w:tabs>
        <w:spacing w:after="240"/>
        <w:jc w:val="left"/>
      </w:pPr>
      <w:r w:rsidRPr="001F2F9B">
        <w:t xml:space="preserve">Ministry of the Environment http://www.ym.fi/en </w:t>
      </w:r>
    </w:p>
    <w:p w:rsidR="00CA1321" w:rsidRPr="001F2F9B" w:rsidRDefault="00CA1321" w:rsidP="00CA1321">
      <w:pPr>
        <w:tabs>
          <w:tab w:val="left" w:pos="4536"/>
        </w:tabs>
        <w:spacing w:after="240"/>
      </w:pPr>
      <w:r w:rsidRPr="001F2F9B">
        <w:t xml:space="preserve">National Emergency Supply Agency (NESA) </w:t>
      </w:r>
      <w:hyperlink r:id="rId37" w:history="1">
        <w:r w:rsidRPr="001F2F9B">
          <w:rPr>
            <w:rStyle w:val="Hyperlink"/>
          </w:rPr>
          <w:t>http://www.nesa.fi/security-of-supply/</w:t>
        </w:r>
      </w:hyperlink>
    </w:p>
    <w:p w:rsidR="00CA1321" w:rsidRPr="001F2F9B" w:rsidRDefault="00CA1321" w:rsidP="00CA1321">
      <w:pPr>
        <w:tabs>
          <w:tab w:val="left" w:pos="4536"/>
        </w:tabs>
        <w:spacing w:after="240"/>
      </w:pPr>
      <w:r w:rsidRPr="001F2F9B">
        <w:t xml:space="preserve">Prime Minister's Office Finland: </w:t>
      </w:r>
      <w:hyperlink r:id="rId38" w:history="1">
        <w:r w:rsidRPr="001F2F9B">
          <w:rPr>
            <w:rStyle w:val="Hyperlink"/>
          </w:rPr>
          <w:t>http://vnk.fi/etusivu/en.jsp</w:t>
        </w:r>
      </w:hyperlink>
      <w:r w:rsidRPr="001F2F9B">
        <w:t xml:space="preserve"> </w:t>
      </w:r>
    </w:p>
    <w:p w:rsidR="00CA1321" w:rsidRPr="001F2F9B" w:rsidRDefault="00CA1321" w:rsidP="00CA1321">
      <w:pPr>
        <w:tabs>
          <w:tab w:val="left" w:pos="4536"/>
        </w:tabs>
        <w:spacing w:after="240"/>
      </w:pPr>
      <w:r w:rsidRPr="001F2F9B">
        <w:lastRenderedPageBreak/>
        <w:t xml:space="preserve">Rescue Services: </w:t>
      </w:r>
      <w:hyperlink r:id="rId39" w:history="1">
        <w:r w:rsidRPr="001F2F9B">
          <w:rPr>
            <w:rStyle w:val="Hyperlink"/>
          </w:rPr>
          <w:t>http://www.112.fi/other_languages</w:t>
        </w:r>
      </w:hyperlink>
      <w:r w:rsidRPr="001F2F9B">
        <w:t xml:space="preserve"> (main pages in finnish)State Security Networks Ltd. </w:t>
      </w:r>
      <w:hyperlink r:id="rId40" w:history="1">
        <w:r w:rsidRPr="001F2F9B">
          <w:rPr>
            <w:rStyle w:val="Hyperlink"/>
          </w:rPr>
          <w:t>http://www.erillisverkot.fi/en/erillisverkot/home_page/</w:t>
        </w:r>
      </w:hyperlink>
      <w:r w:rsidRPr="001F2F9B">
        <w:t xml:space="preserve"> </w:t>
      </w:r>
    </w:p>
    <w:p w:rsidR="00CA1321" w:rsidRPr="001F2F9B" w:rsidRDefault="00CA1321" w:rsidP="00CA1321">
      <w:pPr>
        <w:tabs>
          <w:tab w:val="left" w:pos="4536"/>
        </w:tabs>
        <w:spacing w:after="240"/>
        <w:jc w:val="left"/>
      </w:pPr>
      <w:r w:rsidRPr="001F2F9B">
        <w:t xml:space="preserve">Vademecum for civil protection: Country profile - Finland </w:t>
      </w:r>
      <w:hyperlink r:id="rId41" w:history="1">
        <w:r w:rsidRPr="001F2F9B">
          <w:rPr>
            <w:rStyle w:val="Hyperlink"/>
          </w:rPr>
          <w:t>http://ec.europa.eu/echo/files/civil_protection/vademecum/fi/2-fi.html</w:t>
        </w:r>
      </w:hyperlink>
      <w:r w:rsidRPr="001F2F9B">
        <w:t xml:space="preserve"> </w:t>
      </w:r>
    </w:p>
    <w:p w:rsidR="00CA1321" w:rsidRPr="001F2F9B" w:rsidRDefault="00CA1321" w:rsidP="00CA1321">
      <w:pPr>
        <w:tabs>
          <w:tab w:val="left" w:pos="4536"/>
        </w:tabs>
        <w:spacing w:after="120"/>
        <w:jc w:val="left"/>
      </w:pPr>
    </w:p>
    <w:p w:rsidR="00CA1321" w:rsidRPr="001F2F9B" w:rsidRDefault="00CA1321" w:rsidP="00CA1321">
      <w:pPr>
        <w:pStyle w:val="berschrift2"/>
        <w:numPr>
          <w:ilvl w:val="0"/>
          <w:numId w:val="0"/>
        </w:numPr>
        <w:rPr>
          <w:rFonts w:cs="Times New Roman"/>
          <w:lang w:val="en-GB"/>
        </w:rPr>
      </w:pPr>
      <w:bookmarkStart w:id="198" w:name="_Toc444087663"/>
      <w:bookmarkStart w:id="199" w:name="_Toc444176236"/>
      <w:bookmarkStart w:id="200" w:name="_Toc445378559"/>
      <w:r w:rsidRPr="001F2F9B">
        <w:rPr>
          <w:lang w:val="en-GB"/>
        </w:rPr>
        <w:t>Publications</w:t>
      </w:r>
      <w:bookmarkEnd w:id="198"/>
      <w:bookmarkEnd w:id="199"/>
      <w:bookmarkEnd w:id="200"/>
    </w:p>
    <w:p w:rsidR="00CA1321" w:rsidRPr="001F2F9B" w:rsidRDefault="00CA1321" w:rsidP="00CA1321">
      <w:pPr>
        <w:tabs>
          <w:tab w:val="left" w:pos="4536"/>
        </w:tabs>
        <w:spacing w:after="240"/>
      </w:pPr>
      <w:r w:rsidRPr="001F2F9B">
        <w:t xml:space="preserve">ARTIC COUNCIL: </w:t>
      </w:r>
      <w:r w:rsidRPr="001F2F9B">
        <w:rPr>
          <w:i/>
        </w:rPr>
        <w:t>Agreement on Cooperation on Marine Oil Pollution Preparedness and Response in the Arctic – Appendix IV Operational Guidelines.</w:t>
      </w:r>
      <w:r w:rsidRPr="001F2F9B">
        <w:t xml:space="preserve"> May 15, 2013 Revision 1: January 28, 2014</w:t>
      </w:r>
    </w:p>
    <w:p w:rsidR="00CA1321" w:rsidRPr="001F2F9B" w:rsidRDefault="00CA1321" w:rsidP="00CA1321">
      <w:pPr>
        <w:tabs>
          <w:tab w:val="left" w:pos="4536"/>
        </w:tabs>
        <w:spacing w:after="240"/>
      </w:pPr>
      <w:r w:rsidRPr="001F2F9B">
        <w:t xml:space="preserve">Finnish Red Cross. </w:t>
      </w:r>
      <w:r w:rsidRPr="001F2F9B">
        <w:rPr>
          <w:i/>
        </w:rPr>
        <w:t>Finland’s legal preparedness for international disaster response – Host Nation Support Guidelines</w:t>
      </w:r>
      <w:r w:rsidRPr="001F2F9B">
        <w:t>. 2014</w:t>
      </w:r>
    </w:p>
    <w:p w:rsidR="00CA1321" w:rsidRPr="001F2F9B" w:rsidRDefault="00CA1321" w:rsidP="00CA1321">
      <w:pPr>
        <w:tabs>
          <w:tab w:val="left" w:pos="4536"/>
        </w:tabs>
        <w:spacing w:after="240"/>
      </w:pPr>
      <w:r w:rsidRPr="001F2F9B">
        <w:t xml:space="preserve">Hellenberg, Timo and Visuri, Pekka. </w:t>
      </w:r>
      <w:r w:rsidRPr="001F2F9B">
        <w:rPr>
          <w:i/>
        </w:rPr>
        <w:t>Country Study: Finland</w:t>
      </w:r>
      <w:r w:rsidRPr="001F2F9B">
        <w:t>. Analysis of Civil Security Systems in Europe (ANVIL) Project, June 2013</w:t>
      </w:r>
    </w:p>
    <w:p w:rsidR="00CA1321" w:rsidRPr="001F2F9B" w:rsidRDefault="00CA1321" w:rsidP="00CA1321">
      <w:pPr>
        <w:spacing w:after="240"/>
      </w:pPr>
      <w:r w:rsidRPr="001F2F9B">
        <w:t xml:space="preserve">Khakee, Anna. </w:t>
      </w:r>
      <w:r w:rsidRPr="001F2F9B">
        <w:rPr>
          <w:i/>
        </w:rPr>
        <w:t>Securing Democracy? A Comparative Analysis of Emergency Powers in Europe</w:t>
      </w:r>
      <w:r w:rsidRPr="001F2F9B">
        <w:t>. Geneva Centre for the Democratic Control of Armed Forces (DCAF). Policy Paper – №30, 2009.</w:t>
      </w:r>
    </w:p>
    <w:p w:rsidR="00CA1321" w:rsidRPr="001F2F9B" w:rsidRDefault="00CA1321" w:rsidP="00CA1321">
      <w:pPr>
        <w:spacing w:after="240"/>
      </w:pPr>
      <w:r w:rsidRPr="001F2F9B">
        <w:t xml:space="preserve">Ministry of the Interior - Department for Rescue Services. </w:t>
      </w:r>
      <w:r w:rsidRPr="001F2F9B">
        <w:rPr>
          <w:i/>
        </w:rPr>
        <w:t>Rescue services in Finland</w:t>
      </w:r>
      <w:r w:rsidRPr="001F2F9B">
        <w:t>. 2013</w:t>
      </w:r>
    </w:p>
    <w:p w:rsidR="00CA1321" w:rsidRPr="001F2F9B" w:rsidRDefault="00CA1321" w:rsidP="00CA1321">
      <w:pPr>
        <w:spacing w:after="240"/>
      </w:pPr>
      <w:r w:rsidRPr="001F2F9B">
        <w:t>Ministry of the Interior</w:t>
      </w:r>
      <w:r w:rsidRPr="001F2F9B">
        <w:rPr>
          <w:i/>
        </w:rPr>
        <w:t>: National progress report(s) on the implementation of the Hyogo Framework for Action</w:t>
      </w:r>
      <w:r w:rsidRPr="001F2F9B">
        <w:t>, 2012 (2009-2011), 2013 (2011-2013), 2014 (2013-2015, interim)</w:t>
      </w:r>
    </w:p>
    <w:p w:rsidR="00CA1321" w:rsidRPr="001F2F9B" w:rsidRDefault="00CA1321" w:rsidP="00CA1321">
      <w:pPr>
        <w:spacing w:after="240"/>
      </w:pPr>
      <w:r w:rsidRPr="001F2F9B">
        <w:t xml:space="preserve">Ministry of the Interior: </w:t>
      </w:r>
      <w:r w:rsidRPr="001F2F9B">
        <w:rPr>
          <w:i/>
        </w:rPr>
        <w:t>National Platform for Disaster Risk Reduction</w:t>
      </w:r>
      <w:r w:rsidRPr="001F2F9B">
        <w:t>. Ministry of the Interior publication 14/2012</w:t>
      </w:r>
    </w:p>
    <w:p w:rsidR="00CA1321" w:rsidRPr="001F2F9B" w:rsidRDefault="00CA1321" w:rsidP="00CA1321">
      <w:pPr>
        <w:spacing w:after="240"/>
      </w:pPr>
      <w:r w:rsidRPr="001F2F9B">
        <w:t xml:space="preserve">Ministry of the Interior. Outline for national reporting and information on disaster reduction for the World Conference on Disaster Reduction (Kobe-Hyogo, Japan, 18-22 January 2005). </w:t>
      </w:r>
      <w:r w:rsidRPr="001F2F9B">
        <w:rPr>
          <w:i/>
        </w:rPr>
        <w:t>Country Report Finland.</w:t>
      </w:r>
      <w:r w:rsidRPr="001F2F9B">
        <w:t xml:space="preserve"> 2004, </w:t>
      </w:r>
      <w:hyperlink r:id="rId42" w:history="1">
        <w:r w:rsidRPr="001F2F9B">
          <w:rPr>
            <w:rStyle w:val="Hyperlink"/>
          </w:rPr>
          <w:t>http://www.unisdr.org/2005/mdgs-drr/national-reports/Finland-report.pdf</w:t>
        </w:r>
      </w:hyperlink>
    </w:p>
    <w:p w:rsidR="00CA1321" w:rsidRPr="001F2F9B" w:rsidRDefault="00CA1321" w:rsidP="00CA1321">
      <w:pPr>
        <w:tabs>
          <w:tab w:val="left" w:pos="4536"/>
        </w:tabs>
        <w:spacing w:after="240"/>
      </w:pPr>
      <w:r w:rsidRPr="001F2F9B">
        <w:t xml:space="preserve">Möttölä, Kari. </w:t>
      </w:r>
      <w:r w:rsidRPr="001F2F9B">
        <w:rPr>
          <w:i/>
        </w:rPr>
        <w:t>Finland’s Comprehensive Security: Challenges and Responses</w:t>
      </w:r>
      <w:r w:rsidRPr="001F2F9B">
        <w:t>, A contribution to the project on “Threat Perceptions in the OSCE Area” of the OSCE Network of Think Tanks and Academic Institutions (February 6, 2014/March 19, 2014)</w:t>
      </w:r>
    </w:p>
    <w:p w:rsidR="00CA1321" w:rsidRPr="001F2F9B" w:rsidRDefault="00CA1321" w:rsidP="00CA1321">
      <w:pPr>
        <w:tabs>
          <w:tab w:val="left" w:pos="4536"/>
        </w:tabs>
        <w:spacing w:after="240"/>
      </w:pPr>
      <w:r w:rsidRPr="001F2F9B">
        <w:t xml:space="preserve">Parliament of Finland, Foreign Affairs Committee. </w:t>
      </w:r>
      <w:r w:rsidRPr="001F2F9B">
        <w:rPr>
          <w:i/>
        </w:rPr>
        <w:t>Report on the Government Report on Finnish Security and Defence Policy</w:t>
      </w:r>
      <w:r w:rsidRPr="001F2F9B">
        <w:t xml:space="preserve"> 2012</w:t>
      </w:r>
    </w:p>
    <w:p w:rsidR="00CA1321" w:rsidRPr="001F2F9B" w:rsidRDefault="00CA1321" w:rsidP="00CA1321">
      <w:pPr>
        <w:pStyle w:val="Funotentext"/>
        <w:spacing w:after="240"/>
        <w:rPr>
          <w:sz w:val="22"/>
          <w:szCs w:val="22"/>
        </w:rPr>
      </w:pPr>
      <w:r w:rsidRPr="001F2F9B">
        <w:rPr>
          <w:sz w:val="22"/>
          <w:szCs w:val="22"/>
        </w:rPr>
        <w:t xml:space="preserve">Stockholm International Peace Research Institute SIPRI. </w:t>
      </w:r>
      <w:r w:rsidRPr="001F2F9B">
        <w:rPr>
          <w:i/>
          <w:sz w:val="22"/>
          <w:szCs w:val="22"/>
        </w:rPr>
        <w:t>The effectiveness of foreign military assets in natural disaster response</w:t>
      </w:r>
      <w:r w:rsidRPr="001F2F9B">
        <w:rPr>
          <w:sz w:val="22"/>
          <w:szCs w:val="22"/>
        </w:rPr>
        <w:t>. Solna, 2008.</w:t>
      </w:r>
    </w:p>
    <w:p w:rsidR="00CA1321" w:rsidRPr="001F2F9B" w:rsidRDefault="00CA1321" w:rsidP="00CA1321">
      <w:pPr>
        <w:spacing w:after="240"/>
      </w:pPr>
      <w:r w:rsidRPr="001F2F9B">
        <w:t>The Nordic Forum for Emergency Matters regarding the Power Sector (NEF).</w:t>
      </w:r>
      <w:r w:rsidRPr="001F2F9B">
        <w:rPr>
          <w:i/>
        </w:rPr>
        <w:t xml:space="preserve"> Nordic Contingency Planning and Crisis Management</w:t>
      </w:r>
      <w:r w:rsidRPr="001F2F9B">
        <w:t>, Report Edition no.1 2005 12 15</w:t>
      </w:r>
    </w:p>
    <w:p w:rsidR="00CA1321" w:rsidRPr="001F2F9B" w:rsidRDefault="00CA1321" w:rsidP="00CA1321">
      <w:pPr>
        <w:spacing w:after="240"/>
      </w:pPr>
      <w:r w:rsidRPr="001F2F9B">
        <w:lastRenderedPageBreak/>
        <w:t xml:space="preserve">UNISDR, EC, OECD. Building resilience to disasters: Assessing the implementation of the Hyogo Framework for Action (2005-2015): </w:t>
      </w:r>
      <w:r w:rsidRPr="001F2F9B">
        <w:rPr>
          <w:i/>
        </w:rPr>
        <w:t>Peer review report Finland</w:t>
      </w:r>
      <w:r w:rsidRPr="001F2F9B">
        <w:t xml:space="preserve"> (2014)</w:t>
      </w:r>
    </w:p>
    <w:p w:rsidR="00CA1321" w:rsidRPr="001F2F9B" w:rsidRDefault="00CA1321" w:rsidP="00CA1321">
      <w:pPr>
        <w:spacing w:after="240"/>
      </w:pPr>
      <w:r w:rsidRPr="001F2F9B">
        <w:t>The Finnish Institute of Occupational Health/ Northern Ostrobothnia Hospital District/ Regional Rescue Services of Oulu-Koillismaa/ Emergency Services College, Kuopio.</w:t>
      </w:r>
      <w:r w:rsidRPr="001F2F9B">
        <w:rPr>
          <w:i/>
        </w:rPr>
        <w:t>Rescue Services in Northern Finland – Comprehensive Report</w:t>
      </w:r>
      <w:r w:rsidRPr="001F2F9B">
        <w:t>. 03.2009</w:t>
      </w:r>
    </w:p>
    <w:p w:rsidR="00CA1321" w:rsidRPr="001F2F9B" w:rsidRDefault="00CA1321" w:rsidP="00CA1321">
      <w:pPr>
        <w:spacing w:after="240"/>
        <w:rPr>
          <w:i/>
        </w:rPr>
      </w:pPr>
      <w:r w:rsidRPr="001F2F9B">
        <w:t xml:space="preserve">Bündnis Entwicklung Hilft - Alliance Development Works/ United Nations University – Institute for Environment and Human Security (UNU-EHS). </w:t>
      </w:r>
      <w:r w:rsidRPr="001F2F9B">
        <w:rPr>
          <w:i/>
        </w:rPr>
        <w:t>WorldRiskReport 2014</w:t>
      </w:r>
      <w:bookmarkEnd w:id="1"/>
    </w:p>
    <w:p w:rsidR="00CA1321" w:rsidRPr="001F2F9B" w:rsidRDefault="00CA1321" w:rsidP="00CA1321">
      <w:pPr>
        <w:spacing w:after="240"/>
      </w:pPr>
    </w:p>
    <w:p w:rsidR="00CA1321" w:rsidRPr="001F2F9B" w:rsidRDefault="00CA1321" w:rsidP="00CA1321">
      <w:pPr>
        <w:spacing w:before="360"/>
        <w:jc w:val="center"/>
        <w:rPr>
          <w:rFonts w:ascii="Century Gothic" w:hAnsi="Century Gothic" w:cs="Century Gothic"/>
          <w:smallCaps/>
          <w:color w:val="5C2A59"/>
          <w:spacing w:val="5"/>
          <w:kern w:val="28"/>
          <w:sz w:val="72"/>
          <w:szCs w:val="72"/>
        </w:rPr>
        <w:sectPr w:rsidR="00CA1321" w:rsidRPr="001F2F9B" w:rsidSect="006B353A">
          <w:headerReference w:type="default" r:id="rId43"/>
          <w:pgSz w:w="11906" w:h="16838" w:code="9"/>
          <w:pgMar w:top="1417" w:right="1417" w:bottom="1417" w:left="1417" w:header="568" w:footer="567" w:gutter="0"/>
          <w:cols w:space="708"/>
          <w:titlePg/>
          <w:docGrid w:linePitch="360"/>
        </w:sectPr>
      </w:pPr>
    </w:p>
    <w:p w:rsidR="00AD6C3B" w:rsidRDefault="00AD6C3B"/>
    <w:sectPr w:rsidR="00AD6C3B">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C232D" w:rsidRDefault="004C232D" w:rsidP="00CA1321">
      <w:pPr>
        <w:spacing w:before="0" w:after="0" w:line="240" w:lineRule="auto"/>
      </w:pPr>
      <w:r>
        <w:separator/>
      </w:r>
    </w:p>
  </w:endnote>
  <w:endnote w:type="continuationSeparator" w:id="0">
    <w:p w:rsidR="004C232D" w:rsidRDefault="004C232D" w:rsidP="00CA132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0002A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utiger LT Com 45 Light">
    <w:charset w:val="00"/>
    <w:family w:val="swiss"/>
    <w:pitch w:val="variable"/>
    <w:sig w:usb0="800000AF" w:usb1="5000204A" w:usb2="00000000" w:usb3="00000000" w:csb0="0000009B" w:csb1="00000000"/>
  </w:font>
  <w:font w:name="SimSun">
    <w:altName w:val="宋体"/>
    <w:panose1 w:val="02010600030101010101"/>
    <w:charset w:val="86"/>
    <w:family w:val="auto"/>
    <w:pitch w:val="variable"/>
    <w:sig w:usb0="00000003" w:usb1="288F0000" w:usb2="00000016" w:usb3="00000000" w:csb0="00040001" w:csb1="00000000"/>
  </w:font>
  <w:font w:name="Lucida Grande">
    <w:altName w:val="Arial"/>
    <w:charset w:val="00"/>
    <w:family w:val="auto"/>
    <w:pitch w:val="variable"/>
    <w:sig w:usb0="E1000AEF" w:usb1="5000A1FF" w:usb2="00000000" w:usb3="00000000" w:csb0="000001BF" w:csb1="00000000"/>
  </w:font>
  <w:font w:name="Times">
    <w:altName w:val="Times New Roman"/>
    <w:panose1 w:val="02020603050405020304"/>
    <w:charset w:val="00"/>
    <w:family w:val="roman"/>
    <w:pitch w:val="variable"/>
    <w:sig w:usb0="E0002AFF" w:usb1="C0007841" w:usb2="00000009" w:usb3="00000000" w:csb0="000001FF" w:csb1="00000000"/>
  </w:font>
  <w:font w:name="Taz SemiBold">
    <w:altName w:val="Cambria"/>
    <w:panose1 w:val="00000000000000000000"/>
    <w:charset w:val="00"/>
    <w:family w:val="swiss"/>
    <w:notTrueType/>
    <w:pitch w:val="default"/>
    <w:sig w:usb0="00000003" w:usb1="00000000" w:usb2="00000000" w:usb3="00000000" w:csb0="00000001" w:csb1="00000000"/>
  </w:font>
  <w:font w:name="Taz Bold">
    <w:altName w:val="Calibri"/>
    <w:panose1 w:val="00000000000000000000"/>
    <w:charset w:val="00"/>
    <w:family w:val="swiss"/>
    <w:notTrueType/>
    <w:pitch w:val="default"/>
    <w:sig w:usb0="00000003" w:usb1="00000000" w:usb2="00000000" w:usb3="00000000" w:csb0="00000001" w:csb1="00000000"/>
  </w:font>
  <w:font w:name="Sari-RegularItalic">
    <w:altName w:val="Sari-RegularItalic"/>
    <w:panose1 w:val="00000000000000000000"/>
    <w:charset w:val="00"/>
    <w:family w:val="swiss"/>
    <w:notTrueType/>
    <w:pitch w:val="default"/>
    <w:sig w:usb0="00000003" w:usb1="00000000" w:usb2="00000000" w:usb3="00000000" w:csb0="00000001" w:csb1="00000000"/>
  </w:font>
  <w:font w:name="Sari-Regular">
    <w:altName w:val="Cambria"/>
    <w:panose1 w:val="00000000000000000000"/>
    <w:charset w:val="00"/>
    <w:family w:val="swiss"/>
    <w:notTrueType/>
    <w:pitch w:val="default"/>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font402">
    <w:altName w:val="Times New Roman"/>
    <w:charset w:val="CC"/>
    <w:family w:val="auto"/>
    <w:pitch w:val="variable"/>
  </w:font>
  <w:font w:name="SS Excelsior">
    <w:altName w:val="Cambria"/>
    <w:panose1 w:val="00000000000000000000"/>
    <w:charset w:val="4D"/>
    <w:family w:val="roman"/>
    <w:notTrueType/>
    <w:pitch w:val="default"/>
    <w:sig w:usb0="00000003" w:usb1="00000000" w:usb2="00000000" w:usb3="00000000" w:csb0="00000001" w:csb1="00000000"/>
  </w:font>
  <w:font w:name="CaslonOldFace BT">
    <w:altName w:val="CaslonOldFace BT"/>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rutigerLT-Cn">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C232D" w:rsidRDefault="004C232D" w:rsidP="00CA1321">
      <w:pPr>
        <w:spacing w:before="0" w:after="0" w:line="240" w:lineRule="auto"/>
      </w:pPr>
      <w:r>
        <w:separator/>
      </w:r>
    </w:p>
  </w:footnote>
  <w:footnote w:type="continuationSeparator" w:id="0">
    <w:p w:rsidR="004C232D" w:rsidRDefault="004C232D" w:rsidP="00CA1321">
      <w:pPr>
        <w:spacing w:before="0" w:after="0" w:line="240" w:lineRule="auto"/>
      </w:pPr>
      <w:r>
        <w:continuationSeparator/>
      </w:r>
    </w:p>
  </w:footnote>
  <w:footnote w:id="1">
    <w:p w:rsidR="00CA1321" w:rsidRPr="002E3AD2" w:rsidRDefault="00CA1321" w:rsidP="00CA1321">
      <w:pPr>
        <w:pStyle w:val="Funotentext"/>
      </w:pPr>
      <w:r>
        <w:rPr>
          <w:rStyle w:val="Funotenzeichen"/>
        </w:rPr>
        <w:footnoteRef/>
      </w:r>
      <w:r>
        <w:t xml:space="preserve"> </w:t>
      </w:r>
      <w:r w:rsidRPr="002E3AD2">
        <w:t xml:space="preserve">Key findings </w:t>
      </w:r>
      <w:r>
        <w:t xml:space="preserve">(p.6)  </w:t>
      </w:r>
      <w:r w:rsidRPr="002E3AD2">
        <w:t xml:space="preserve">of the </w:t>
      </w:r>
      <w:r w:rsidRPr="002E3AD2">
        <w:rPr>
          <w:i/>
        </w:rPr>
        <w:t>Peer review report Finland</w:t>
      </w:r>
      <w:r w:rsidRPr="002E3AD2">
        <w:t xml:space="preserve"> (2014)</w:t>
      </w:r>
    </w:p>
  </w:footnote>
  <w:footnote w:id="2">
    <w:p w:rsidR="00CA1321" w:rsidRPr="00F57291" w:rsidRDefault="00CA1321" w:rsidP="00CA1321">
      <w:pPr>
        <w:pStyle w:val="Funotentext"/>
      </w:pPr>
      <w:r>
        <w:rPr>
          <w:rStyle w:val="Funotenzeichen"/>
        </w:rPr>
        <w:footnoteRef/>
      </w:r>
      <w:r>
        <w:t xml:space="preserve"> </w:t>
      </w:r>
      <w:r w:rsidRPr="00C1645B">
        <w:t xml:space="preserve"> </w:t>
      </w:r>
      <w:r w:rsidRPr="00502F3D">
        <w:t>Country Study: Finland</w:t>
      </w:r>
      <w:r>
        <w:t>. The ANVIL project. June 2013  (p.2)</w:t>
      </w:r>
    </w:p>
  </w:footnote>
  <w:footnote w:id="3">
    <w:p w:rsidR="00CA1321" w:rsidRPr="007667D9" w:rsidRDefault="00CA1321" w:rsidP="00CA1321">
      <w:pPr>
        <w:pStyle w:val="Funotentext"/>
      </w:pPr>
      <w:r>
        <w:rPr>
          <w:rStyle w:val="Funotenzeichen"/>
        </w:rPr>
        <w:footnoteRef/>
      </w:r>
      <w:r>
        <w:t xml:space="preserve"> </w:t>
      </w:r>
      <w:r w:rsidRPr="00F02F0C">
        <w:t>Finnish Enviromental Institute SYKE http://www.syke.fi/en-US</w:t>
      </w:r>
    </w:p>
  </w:footnote>
  <w:footnote w:id="4">
    <w:p w:rsidR="00CA1321" w:rsidRPr="00874917" w:rsidRDefault="00CA1321" w:rsidP="00CA1321">
      <w:pPr>
        <w:pStyle w:val="Funotentext"/>
        <w:rPr>
          <w:lang w:val="en-US"/>
        </w:rPr>
      </w:pPr>
      <w:r>
        <w:rPr>
          <w:rStyle w:val="Funotenzeichen"/>
        </w:rPr>
        <w:footnoteRef/>
      </w:r>
      <w:r>
        <w:t xml:space="preserve"> </w:t>
      </w:r>
      <w:r w:rsidRPr="00B12282">
        <w:t>Ministry of Agriculture and Forestry. Finland’s National Strategy for Adaptation to Climate Change</w:t>
      </w:r>
      <w:r>
        <w:t>. 2005</w:t>
      </w:r>
    </w:p>
  </w:footnote>
  <w:footnote w:id="5">
    <w:p w:rsidR="00CA1321" w:rsidRPr="00874917" w:rsidRDefault="00CA1321" w:rsidP="00CA1321">
      <w:pPr>
        <w:pStyle w:val="Funotentext"/>
        <w:rPr>
          <w:lang w:val="en-US"/>
        </w:rPr>
      </w:pPr>
      <w:r>
        <w:rPr>
          <w:rStyle w:val="Funotenzeichen"/>
        </w:rPr>
        <w:footnoteRef/>
      </w:r>
      <w:r>
        <w:t xml:space="preserve"> </w:t>
      </w:r>
      <w:r w:rsidRPr="002F6CD1">
        <w:t>Ministry of Agriculture and Forestry. Finland’s National Climate Change Adaptation Plan 2022</w:t>
      </w:r>
      <w:r>
        <w:t>. 2014</w:t>
      </w:r>
    </w:p>
  </w:footnote>
  <w:footnote w:id="6">
    <w:p w:rsidR="00CA1321" w:rsidRPr="00874917" w:rsidRDefault="00CA1321" w:rsidP="00CA1321">
      <w:pPr>
        <w:pStyle w:val="Funotentext"/>
        <w:jc w:val="left"/>
        <w:rPr>
          <w:lang w:val="en-US"/>
        </w:rPr>
      </w:pPr>
      <w:r>
        <w:rPr>
          <w:rStyle w:val="Funotenzeichen"/>
        </w:rPr>
        <w:footnoteRef/>
      </w:r>
      <w:r>
        <w:t xml:space="preserve"> </w:t>
      </w:r>
      <w:r w:rsidRPr="002F6CD1">
        <w:t>Climate Change Act (609/2015) http://www.ym.fi/en-us/The_environment/Legislation_and_instructions/Climate_change_legislation</w:t>
      </w:r>
    </w:p>
  </w:footnote>
  <w:footnote w:id="7">
    <w:p w:rsidR="00CA1321" w:rsidRPr="00377529" w:rsidRDefault="00CA1321" w:rsidP="00CA1321">
      <w:pPr>
        <w:pStyle w:val="Funotentext"/>
      </w:pPr>
      <w:r>
        <w:rPr>
          <w:rStyle w:val="Funotenzeichen"/>
        </w:rPr>
        <w:footnoteRef/>
      </w:r>
      <w:r>
        <w:t xml:space="preserve"> </w:t>
      </w:r>
      <w:r w:rsidRPr="00502F3D">
        <w:t>Country Study: Finland</w:t>
      </w:r>
      <w:r>
        <w:t>. The ANVIL project. June 2013 (p.7)</w:t>
      </w:r>
    </w:p>
  </w:footnote>
  <w:footnote w:id="8">
    <w:p w:rsidR="00CA1321" w:rsidRPr="00874917" w:rsidRDefault="00CA1321" w:rsidP="00CA1321">
      <w:pPr>
        <w:pStyle w:val="Funotentext"/>
        <w:rPr>
          <w:lang w:val="en-US"/>
        </w:rPr>
      </w:pPr>
      <w:r>
        <w:rPr>
          <w:rStyle w:val="Funotenzeichen"/>
        </w:rPr>
        <w:footnoteRef/>
      </w:r>
      <w:r>
        <w:t xml:space="preserve"> Peer Review Report Finland </w:t>
      </w:r>
      <w:r w:rsidRPr="00625AD3">
        <w:t>2014</w:t>
      </w:r>
      <w:r>
        <w:t xml:space="preserve"> (p.12)</w:t>
      </w:r>
    </w:p>
  </w:footnote>
  <w:footnote w:id="9">
    <w:p w:rsidR="00CA1321" w:rsidRPr="00525FBC" w:rsidRDefault="00CA1321" w:rsidP="00CA1321">
      <w:pPr>
        <w:pStyle w:val="Funotentext"/>
      </w:pPr>
      <w:r>
        <w:rPr>
          <w:rStyle w:val="Funotenzeichen"/>
        </w:rPr>
        <w:footnoteRef/>
      </w:r>
      <w:r>
        <w:t xml:space="preserve"> Ministry of Defence. </w:t>
      </w:r>
      <w:r>
        <w:rPr>
          <w:i/>
        </w:rPr>
        <w:t>Security Strategy for Society</w:t>
      </w:r>
      <w:r>
        <w:t>. Government Resolution 16.12.2010. Helsinki 2010</w:t>
      </w:r>
    </w:p>
  </w:footnote>
  <w:footnote w:id="10">
    <w:p w:rsidR="00CA1321" w:rsidRPr="00000822" w:rsidRDefault="00CA1321" w:rsidP="00CA1321">
      <w:pPr>
        <w:pStyle w:val="Funotentext"/>
      </w:pPr>
      <w:r w:rsidRPr="00000822">
        <w:rPr>
          <w:rStyle w:val="Funotenzeichen"/>
        </w:rPr>
        <w:footnoteRef/>
      </w:r>
      <w:r w:rsidRPr="00000822">
        <w:t xml:space="preserve"> See list of definitions / the threat scenarios and their possible disturbances are listed in the Annexes of the Security Strategy for Society 2010</w:t>
      </w:r>
      <w:r>
        <w:t xml:space="preserve"> and are regularly updated</w:t>
      </w:r>
    </w:p>
  </w:footnote>
  <w:footnote w:id="11">
    <w:p w:rsidR="00CA1321" w:rsidRPr="00000822" w:rsidRDefault="00CA1321" w:rsidP="00CA1321">
      <w:pPr>
        <w:pStyle w:val="Funotentext"/>
      </w:pPr>
      <w:r>
        <w:rPr>
          <w:rStyle w:val="Funotenzeichen"/>
        </w:rPr>
        <w:footnoteRef/>
      </w:r>
      <w:r>
        <w:t xml:space="preserve"> </w:t>
      </w:r>
      <w:r w:rsidRPr="00360BC2">
        <w:t>Peer Review Report Finland 2014</w:t>
      </w:r>
      <w:r>
        <w:t xml:space="preserve"> (p.12)</w:t>
      </w:r>
    </w:p>
  </w:footnote>
  <w:footnote w:id="12">
    <w:p w:rsidR="00CA1321" w:rsidRPr="00000822" w:rsidRDefault="00CA1321" w:rsidP="00CA1321">
      <w:pPr>
        <w:pStyle w:val="Funotentext"/>
      </w:pPr>
      <w:r>
        <w:rPr>
          <w:rStyle w:val="Funotenzeichen"/>
        </w:rPr>
        <w:footnoteRef/>
      </w:r>
      <w:r>
        <w:t xml:space="preserve"> </w:t>
      </w:r>
      <w:r w:rsidRPr="00705747">
        <w:t>OIVA - the environmental and geographical information service for experts http://www.syke.fi/en-us/services/Environmental_information_data_systems</w:t>
      </w:r>
    </w:p>
  </w:footnote>
  <w:footnote w:id="13">
    <w:p w:rsidR="00CA1321" w:rsidRPr="00000822" w:rsidRDefault="00CA1321" w:rsidP="00CA1321">
      <w:pPr>
        <w:pStyle w:val="Funotentext"/>
      </w:pPr>
      <w:r>
        <w:rPr>
          <w:rStyle w:val="Funotenzeichen"/>
        </w:rPr>
        <w:footnoteRef/>
      </w:r>
      <w:r>
        <w:t xml:space="preserve"> ,e.g. i</w:t>
      </w:r>
      <w:r w:rsidRPr="00000822">
        <w:t xml:space="preserve">n the </w:t>
      </w:r>
      <w:r w:rsidRPr="006E7B15">
        <w:rPr>
          <w:i/>
        </w:rPr>
        <w:t>Rural Development Programme for Mainland Finland 2014–2020</w:t>
      </w:r>
      <w:r>
        <w:t xml:space="preserve">. </w:t>
      </w:r>
      <w:r w:rsidRPr="00000822">
        <w:t>Ministry of Agriculture and Forestry</w:t>
      </w:r>
      <w:r>
        <w:t>. 2014</w:t>
      </w:r>
    </w:p>
  </w:footnote>
  <w:footnote w:id="14">
    <w:p w:rsidR="00CA1321" w:rsidRPr="00525FBC" w:rsidRDefault="00CA1321" w:rsidP="00CA1321">
      <w:pPr>
        <w:pStyle w:val="Funotentext"/>
      </w:pPr>
      <w:r>
        <w:rPr>
          <w:rStyle w:val="Funotenzeichen"/>
        </w:rPr>
        <w:footnoteRef/>
      </w:r>
      <w:r>
        <w:t xml:space="preserve"> Ministry of the Interior. </w:t>
      </w:r>
      <w:r>
        <w:rPr>
          <w:i/>
        </w:rPr>
        <w:t>Country Report Finland.</w:t>
      </w:r>
      <w:r>
        <w:t xml:space="preserve"> 2004 (p.7 f)</w:t>
      </w:r>
    </w:p>
  </w:footnote>
  <w:footnote w:id="15">
    <w:p w:rsidR="00CA1321" w:rsidRPr="005156C4" w:rsidRDefault="00CA1321" w:rsidP="00CA1321">
      <w:pPr>
        <w:pStyle w:val="Funotentext"/>
      </w:pPr>
      <w:r>
        <w:rPr>
          <w:rStyle w:val="Funotenzeichen"/>
        </w:rPr>
        <w:footnoteRef/>
      </w:r>
      <w:r>
        <w:t xml:space="preserve"> </w:t>
      </w:r>
      <w:r w:rsidRPr="00360BC2">
        <w:t>Peer Review Report Finland 2014</w:t>
      </w:r>
      <w:r>
        <w:t xml:space="preserve"> (p.12)</w:t>
      </w:r>
    </w:p>
    <w:p w:rsidR="00CA1321" w:rsidRPr="00CB6036" w:rsidRDefault="00CA1321" w:rsidP="00CA1321">
      <w:pPr>
        <w:pStyle w:val="Funotentext"/>
      </w:pPr>
    </w:p>
  </w:footnote>
  <w:footnote w:id="16">
    <w:p w:rsidR="00CA1321" w:rsidRPr="00874917" w:rsidRDefault="00CA1321" w:rsidP="00CA1321">
      <w:pPr>
        <w:pStyle w:val="Funotentext"/>
        <w:rPr>
          <w:lang w:val="en-US"/>
        </w:rPr>
      </w:pPr>
      <w:r>
        <w:rPr>
          <w:rStyle w:val="Funotenzeichen"/>
        </w:rPr>
        <w:footnoteRef/>
      </w:r>
      <w:r>
        <w:t xml:space="preserve"> European HILRAM model </w:t>
      </w:r>
      <w:hyperlink r:id="rId1" w:history="1">
        <w:r w:rsidRPr="006D14BE">
          <w:rPr>
            <w:rStyle w:val="Hyperlink"/>
          </w:rPr>
          <w:t>http://www.hirlam.org/</w:t>
        </w:r>
      </w:hyperlink>
      <w:r>
        <w:t xml:space="preserve"> </w:t>
      </w:r>
    </w:p>
  </w:footnote>
  <w:footnote w:id="17">
    <w:p w:rsidR="00CA1321" w:rsidRPr="00874917" w:rsidRDefault="00CA1321" w:rsidP="00CA1321">
      <w:pPr>
        <w:pStyle w:val="Funotentext"/>
        <w:rPr>
          <w:lang w:val="en-US"/>
        </w:rPr>
      </w:pPr>
      <w:r>
        <w:rPr>
          <w:rStyle w:val="Funotenzeichen"/>
        </w:rPr>
        <w:footnoteRef/>
      </w:r>
      <w:r>
        <w:t xml:space="preserve"> Baltic Sea Region BALTRAD </w:t>
      </w:r>
      <w:hyperlink r:id="rId2" w:history="1">
        <w:r w:rsidRPr="006D14BE">
          <w:rPr>
            <w:rStyle w:val="Hyperlink"/>
          </w:rPr>
          <w:t>http://baltrad.eu/</w:t>
        </w:r>
      </w:hyperlink>
      <w:r>
        <w:t xml:space="preserve"> </w:t>
      </w:r>
    </w:p>
  </w:footnote>
  <w:footnote w:id="18">
    <w:p w:rsidR="00CA1321" w:rsidRPr="00874917" w:rsidRDefault="00CA1321" w:rsidP="00CA1321">
      <w:pPr>
        <w:pStyle w:val="Funotentext"/>
        <w:jc w:val="left"/>
        <w:rPr>
          <w:lang w:val="en-US"/>
        </w:rPr>
      </w:pPr>
      <w:r>
        <w:rPr>
          <w:rStyle w:val="Funotenzeichen"/>
        </w:rPr>
        <w:footnoteRef/>
      </w:r>
      <w:r>
        <w:t xml:space="preserve"> Weather Radar Network NORDRAD </w:t>
      </w:r>
      <w:hyperlink r:id="rId3" w:history="1">
        <w:r w:rsidRPr="006D14BE">
          <w:rPr>
            <w:rStyle w:val="Hyperlink"/>
          </w:rPr>
          <w:t>http://blog.fmi.fi/nordmet/node/21</w:t>
        </w:r>
      </w:hyperlink>
      <w:r>
        <w:t xml:space="preserve"> or </w:t>
      </w:r>
      <w:hyperlink r:id="rId4" w:history="1">
        <w:r w:rsidRPr="006D14BE">
          <w:rPr>
            <w:rStyle w:val="Hyperlink"/>
          </w:rPr>
          <w:t>http://www.smhi.se/en/weather/2.732/rainfall-radar</w:t>
        </w:r>
      </w:hyperlink>
      <w:r>
        <w:t xml:space="preserve"> </w:t>
      </w:r>
    </w:p>
  </w:footnote>
  <w:footnote w:id="19">
    <w:p w:rsidR="00CA1321" w:rsidRPr="006E7B15" w:rsidRDefault="00CA1321" w:rsidP="00CA1321">
      <w:pPr>
        <w:pStyle w:val="Funotentext"/>
        <w:rPr>
          <w:lang w:val="de-DE"/>
        </w:rPr>
      </w:pPr>
      <w:r>
        <w:rPr>
          <w:rStyle w:val="Funotenzeichen"/>
        </w:rPr>
        <w:footnoteRef/>
      </w:r>
      <w:r w:rsidRPr="00BD4CF3">
        <w:rPr>
          <w:lang w:val="fr-FR"/>
        </w:rPr>
        <w:t xml:space="preserve"> </w:t>
      </w:r>
      <w:r>
        <w:rPr>
          <w:lang w:val="de-DE"/>
        </w:rPr>
        <w:t xml:space="preserve">NORDMET </w:t>
      </w:r>
      <w:hyperlink r:id="rId5" w:history="1">
        <w:r w:rsidRPr="006D14BE">
          <w:rPr>
            <w:rStyle w:val="Hyperlink"/>
            <w:lang w:val="de-DE"/>
          </w:rPr>
          <w:t>http://blog.fmi.fi/nordmet/</w:t>
        </w:r>
      </w:hyperlink>
      <w:r>
        <w:rPr>
          <w:lang w:val="de-DE"/>
        </w:rPr>
        <w:t xml:space="preserve"> </w:t>
      </w:r>
    </w:p>
  </w:footnote>
  <w:footnote w:id="20">
    <w:p w:rsidR="00CA1321" w:rsidRPr="00874917" w:rsidRDefault="00CA1321" w:rsidP="00CA1321">
      <w:pPr>
        <w:pStyle w:val="Funotentext"/>
        <w:rPr>
          <w:lang w:val="en-US"/>
        </w:rPr>
      </w:pPr>
      <w:r>
        <w:rPr>
          <w:rStyle w:val="Funotenzeichen"/>
        </w:rPr>
        <w:footnoteRef/>
      </w:r>
      <w:r>
        <w:t xml:space="preserve"> </w:t>
      </w:r>
      <w:r w:rsidRPr="00E64741">
        <w:t xml:space="preserve">Prime Minister’s Office. </w:t>
      </w:r>
      <w:r w:rsidRPr="008A3CCF">
        <w:rPr>
          <w:i/>
        </w:rPr>
        <w:t>Finland’s Strategy for the Arctic Region 2013</w:t>
      </w:r>
      <w:r>
        <w:t>. (p44)</w:t>
      </w:r>
    </w:p>
  </w:footnote>
  <w:footnote w:id="21">
    <w:p w:rsidR="00CA1321" w:rsidRPr="00874917" w:rsidRDefault="00CA1321" w:rsidP="00CA1321">
      <w:pPr>
        <w:pStyle w:val="Funotentext"/>
        <w:rPr>
          <w:lang w:val="en-US"/>
        </w:rPr>
      </w:pPr>
      <w:r>
        <w:rPr>
          <w:rStyle w:val="Funotenzeichen"/>
        </w:rPr>
        <w:footnoteRef/>
      </w:r>
      <w:r>
        <w:t xml:space="preserve"> </w:t>
      </w:r>
      <w:r w:rsidRPr="009F6820">
        <w:t>Mor</w:t>
      </w:r>
      <w:r>
        <w:t>e information at www.helcom.fi and</w:t>
      </w:r>
      <w:r w:rsidRPr="009F6820">
        <w:t xml:space="preserve"> www.environment.fi/oil</w:t>
      </w:r>
    </w:p>
  </w:footnote>
  <w:footnote w:id="22">
    <w:p w:rsidR="00CA1321" w:rsidRPr="00874917" w:rsidRDefault="00CA1321" w:rsidP="00CA1321">
      <w:pPr>
        <w:pStyle w:val="Funotentext"/>
        <w:rPr>
          <w:lang w:val="en-US"/>
        </w:rPr>
      </w:pPr>
      <w:r>
        <w:rPr>
          <w:rStyle w:val="Funotenzeichen"/>
        </w:rPr>
        <w:footnoteRef/>
      </w:r>
      <w:r>
        <w:t xml:space="preserve"> </w:t>
      </w:r>
      <w:r w:rsidRPr="00954AE6">
        <w:t>AIS and e-navigation</w:t>
      </w:r>
      <w:r>
        <w:t xml:space="preserve"> </w:t>
      </w:r>
      <w:r w:rsidRPr="00B945EC">
        <w:t>http://www.helcom.fi/action-areas/shipping/ais-and-e-navigation</w:t>
      </w:r>
    </w:p>
  </w:footnote>
  <w:footnote w:id="23">
    <w:p w:rsidR="00CA1321" w:rsidRPr="00874917" w:rsidRDefault="00CA1321" w:rsidP="00CA1321">
      <w:pPr>
        <w:pStyle w:val="Funotentext"/>
        <w:rPr>
          <w:lang w:val="en-US"/>
        </w:rPr>
      </w:pPr>
      <w:r>
        <w:rPr>
          <w:rStyle w:val="Funotenzeichen"/>
        </w:rPr>
        <w:footnoteRef/>
      </w:r>
      <w:r w:rsidRPr="00874917">
        <w:rPr>
          <w:lang w:val="en-US"/>
        </w:rPr>
        <w:t xml:space="preserve"> http://www.marinetraffic.com</w:t>
      </w:r>
    </w:p>
  </w:footnote>
  <w:footnote w:id="24">
    <w:p w:rsidR="00CA1321" w:rsidRPr="00874917" w:rsidRDefault="00CA1321" w:rsidP="00CA1321">
      <w:pPr>
        <w:pStyle w:val="Funotentext"/>
        <w:rPr>
          <w:lang w:val="en-US"/>
        </w:rPr>
      </w:pPr>
      <w:r>
        <w:rPr>
          <w:rStyle w:val="Funotenzeichen"/>
        </w:rPr>
        <w:footnoteRef/>
      </w:r>
      <w:r w:rsidRPr="00874917">
        <w:rPr>
          <w:lang w:val="en-US"/>
        </w:rPr>
        <w:t>http://www.helcom.fi/Documents/Action%20areas/Monitoring%20and%20assessment/Monitoring%20and%20assessment%20strategy/Monitoring%20and%20assessment%20strategy.pdf</w:t>
      </w:r>
    </w:p>
  </w:footnote>
  <w:footnote w:id="25">
    <w:p w:rsidR="00CA1321" w:rsidRPr="005764F9" w:rsidRDefault="00CA1321" w:rsidP="00CA1321">
      <w:pPr>
        <w:pStyle w:val="Funotentext"/>
      </w:pPr>
      <w:r>
        <w:rPr>
          <w:rStyle w:val="Funotenzeichen"/>
        </w:rPr>
        <w:footnoteRef/>
      </w:r>
      <w:r>
        <w:t xml:space="preserve"> </w:t>
      </w:r>
      <w:r w:rsidRPr="00CE127A">
        <w:t xml:space="preserve">Ministry of Defence. </w:t>
      </w:r>
      <w:r w:rsidRPr="006E7B15">
        <w:rPr>
          <w:i/>
        </w:rPr>
        <w:t>Security Strategy for Society</w:t>
      </w:r>
      <w:r w:rsidRPr="00CE127A">
        <w:t>. Government Resolution 16.12.2010. Helsinki 2010</w:t>
      </w:r>
    </w:p>
  </w:footnote>
  <w:footnote w:id="26">
    <w:p w:rsidR="00CA1321" w:rsidRPr="008917CD" w:rsidRDefault="00CA1321" w:rsidP="00CA1321">
      <w:pPr>
        <w:pStyle w:val="Funotentext"/>
      </w:pPr>
      <w:r>
        <w:rPr>
          <w:rStyle w:val="Funotenzeichen"/>
        </w:rPr>
        <w:footnoteRef/>
      </w:r>
      <w:r>
        <w:t xml:space="preserve"> </w:t>
      </w:r>
      <w:r w:rsidRPr="00502F3D">
        <w:t>Country Study: Finland</w:t>
      </w:r>
      <w:r>
        <w:t>. The ANVIL project. June 2013 (p.3)</w:t>
      </w:r>
    </w:p>
  </w:footnote>
  <w:footnote w:id="27">
    <w:p w:rsidR="00CA1321" w:rsidRPr="003756AE" w:rsidRDefault="00CA1321" w:rsidP="00CA1321">
      <w:pPr>
        <w:pStyle w:val="Kommentartext"/>
      </w:pPr>
      <w:r>
        <w:rPr>
          <w:rStyle w:val="Funotenzeichen"/>
        </w:rPr>
        <w:footnoteRef/>
      </w:r>
      <w:r>
        <w:t xml:space="preserve"> MoD - Secretariat for Defence Committee / Security in Society </w:t>
      </w:r>
      <w:hyperlink r:id="rId6" w:history="1">
        <w:r w:rsidRPr="00103223">
          <w:rPr>
            <w:rStyle w:val="Hyperlink"/>
          </w:rPr>
          <w:t>http://www.yhteiskunnanturvallisuus.fi/en/</w:t>
        </w:r>
      </w:hyperlink>
      <w:r>
        <w:t xml:space="preserve">  </w:t>
      </w:r>
    </w:p>
  </w:footnote>
  <w:footnote w:id="28">
    <w:p w:rsidR="00CA1321" w:rsidRPr="001D393B" w:rsidRDefault="00CA1321" w:rsidP="00CA1321">
      <w:pPr>
        <w:pStyle w:val="Funotentext"/>
      </w:pPr>
      <w:r>
        <w:rPr>
          <w:rStyle w:val="Funotenzeichen"/>
        </w:rPr>
        <w:footnoteRef/>
      </w:r>
      <w:r>
        <w:t xml:space="preserve"> see List of Definitions </w:t>
      </w:r>
    </w:p>
  </w:footnote>
  <w:footnote w:id="29">
    <w:p w:rsidR="00CA1321" w:rsidRPr="003756AE" w:rsidRDefault="00CA1321" w:rsidP="00CA1321">
      <w:pPr>
        <w:pStyle w:val="Funotentext"/>
      </w:pPr>
      <w:r>
        <w:rPr>
          <w:rStyle w:val="Funotenzeichen"/>
        </w:rPr>
        <w:footnoteRef/>
      </w:r>
      <w:r>
        <w:t xml:space="preserve"> see List of Definitions</w:t>
      </w:r>
    </w:p>
  </w:footnote>
  <w:footnote w:id="30">
    <w:p w:rsidR="00CA1321" w:rsidRPr="00874917" w:rsidRDefault="00CA1321" w:rsidP="00CA1321">
      <w:pPr>
        <w:pStyle w:val="Funotentext"/>
        <w:rPr>
          <w:lang w:val="en-US"/>
        </w:rPr>
      </w:pPr>
      <w:r>
        <w:rPr>
          <w:rStyle w:val="Funotenzeichen"/>
        </w:rPr>
        <w:footnoteRef/>
      </w:r>
      <w:r>
        <w:t xml:space="preserve"> Security in Society – Threats </w:t>
      </w:r>
      <w:r w:rsidRPr="00AB0DE5">
        <w:t>http://www.yhteiskunnanturvallisuus.fi/en/threats</w:t>
      </w:r>
    </w:p>
  </w:footnote>
  <w:footnote w:id="31">
    <w:p w:rsidR="00CA1321" w:rsidRPr="00AC6293" w:rsidRDefault="00CA1321" w:rsidP="00CA1321">
      <w:pPr>
        <w:pStyle w:val="Funotentext"/>
      </w:pPr>
      <w:r>
        <w:rPr>
          <w:rStyle w:val="Funotenzeichen"/>
        </w:rPr>
        <w:footnoteRef/>
      </w:r>
      <w:r>
        <w:t xml:space="preserve"> Finland’s legal preparedness for international disaster response - Finnish Red Cross 2014.(footnote p.30)</w:t>
      </w:r>
    </w:p>
  </w:footnote>
  <w:footnote w:id="32">
    <w:p w:rsidR="00CA1321" w:rsidRPr="00874917" w:rsidRDefault="00CA1321" w:rsidP="00CA1321">
      <w:pPr>
        <w:pStyle w:val="Funotentext"/>
        <w:rPr>
          <w:lang w:val="en-US"/>
        </w:rPr>
      </w:pPr>
      <w:r>
        <w:rPr>
          <w:rStyle w:val="Funotenzeichen"/>
        </w:rPr>
        <w:footnoteRef/>
      </w:r>
      <w:r>
        <w:t xml:space="preserve"> Ministry of the Interior. </w:t>
      </w:r>
      <w:r>
        <w:rPr>
          <w:i/>
        </w:rPr>
        <w:t>Country Report Finland.</w:t>
      </w:r>
      <w:r>
        <w:t xml:space="preserve"> 2004 (p.3)</w:t>
      </w:r>
    </w:p>
  </w:footnote>
  <w:footnote w:id="33">
    <w:p w:rsidR="00CA1321" w:rsidRPr="00D8044E" w:rsidRDefault="00CA1321" w:rsidP="00CA1321">
      <w:pPr>
        <w:spacing w:after="240"/>
      </w:pPr>
      <w:r>
        <w:rPr>
          <w:rStyle w:val="Funotenzeichen"/>
        </w:rPr>
        <w:footnoteRef/>
      </w:r>
      <w:r>
        <w:t xml:space="preserve"> </w:t>
      </w:r>
      <w:r w:rsidRPr="00D8044E">
        <w:t>Ministry of the Interior</w:t>
      </w:r>
      <w:r>
        <w:t xml:space="preserve"> - </w:t>
      </w:r>
      <w:r w:rsidRPr="00D8044E">
        <w:t>Department for Rescue Services</w:t>
      </w:r>
      <w:r>
        <w:t xml:space="preserve">. </w:t>
      </w:r>
      <w:r w:rsidRPr="00D8044E">
        <w:rPr>
          <w:i/>
        </w:rPr>
        <w:t>Rescue services in Finland</w:t>
      </w:r>
      <w:r>
        <w:t>. 2013</w:t>
      </w:r>
    </w:p>
  </w:footnote>
  <w:footnote w:id="34">
    <w:p w:rsidR="00CA1321" w:rsidRPr="00874917" w:rsidRDefault="00CA1321" w:rsidP="00CA1321">
      <w:pPr>
        <w:pStyle w:val="Funotentext"/>
        <w:jc w:val="left"/>
        <w:rPr>
          <w:lang w:val="en-US"/>
        </w:rPr>
      </w:pPr>
      <w:r>
        <w:rPr>
          <w:rStyle w:val="Funotenzeichen"/>
        </w:rPr>
        <w:footnoteRef/>
      </w:r>
      <w:r>
        <w:t xml:space="preserve"> </w:t>
      </w:r>
      <w:r w:rsidRPr="00E04D91">
        <w:t>Finnish Oil Pollution Compensation Fund</w:t>
      </w:r>
      <w:r>
        <w:t xml:space="preserve"> </w:t>
      </w:r>
      <w:r>
        <w:br/>
      </w:r>
      <w:r w:rsidRPr="00E04D91">
        <w:t>http://www.ym.fi/en-US/The_environment/Finnish_Oil_Pollution_Fund</w:t>
      </w:r>
    </w:p>
  </w:footnote>
  <w:footnote w:id="35">
    <w:p w:rsidR="00CA1321" w:rsidRPr="009638AD" w:rsidRDefault="00CA1321" w:rsidP="00CA1321">
      <w:pPr>
        <w:pStyle w:val="Funotentext"/>
      </w:pPr>
      <w:r>
        <w:rPr>
          <w:rStyle w:val="Funotenzeichen"/>
        </w:rPr>
        <w:footnoteRef/>
      </w:r>
      <w:r>
        <w:t xml:space="preserve"> </w:t>
      </w:r>
      <w:r w:rsidRPr="00360BC2">
        <w:t>Peer Review Report Finland 2014</w:t>
      </w:r>
    </w:p>
  </w:footnote>
  <w:footnote w:id="36">
    <w:p w:rsidR="00CA1321" w:rsidRPr="002D5A92" w:rsidRDefault="00CA1321" w:rsidP="00CA1321">
      <w:pPr>
        <w:pStyle w:val="Funotentext"/>
      </w:pPr>
      <w:r>
        <w:rPr>
          <w:rStyle w:val="Funotenzeichen"/>
        </w:rPr>
        <w:footnoteRef/>
      </w:r>
      <w:r>
        <w:t xml:space="preserve"> </w:t>
      </w:r>
      <w:r w:rsidRPr="00E83A43">
        <w:t xml:space="preserve">Finland’s Cyber Security Strategy. Government Resolution 24.1.2013. </w:t>
      </w:r>
    </w:p>
  </w:footnote>
  <w:footnote w:id="37">
    <w:p w:rsidR="00CA1321" w:rsidRPr="007B03BE" w:rsidRDefault="00CA1321" w:rsidP="00CA1321">
      <w:pPr>
        <w:pStyle w:val="Funotentext"/>
      </w:pPr>
      <w:r>
        <w:rPr>
          <w:rStyle w:val="Funotenzeichen"/>
        </w:rPr>
        <w:footnoteRef/>
      </w:r>
      <w:r>
        <w:t xml:space="preserve"> Peer Review Report Finland 2014.</w:t>
      </w:r>
    </w:p>
  </w:footnote>
  <w:footnote w:id="38">
    <w:p w:rsidR="00CA1321" w:rsidRPr="00461D82" w:rsidRDefault="00CA1321" w:rsidP="00CA1321">
      <w:pPr>
        <w:pStyle w:val="Funotentext"/>
      </w:pPr>
      <w:r>
        <w:rPr>
          <w:rStyle w:val="Funotenzeichen"/>
        </w:rPr>
        <w:footnoteRef/>
      </w:r>
      <w:r>
        <w:t xml:space="preserve"> Peer Review Report Finland 2014.</w:t>
      </w:r>
    </w:p>
  </w:footnote>
  <w:footnote w:id="39">
    <w:p w:rsidR="00CA1321" w:rsidRPr="00377529" w:rsidRDefault="00CA1321" w:rsidP="00CA1321">
      <w:pPr>
        <w:pStyle w:val="Funotentext"/>
      </w:pPr>
      <w:r>
        <w:rPr>
          <w:rStyle w:val="Funotenzeichen"/>
        </w:rPr>
        <w:footnoteRef/>
      </w:r>
      <w:r>
        <w:t xml:space="preserve"> </w:t>
      </w:r>
      <w:r w:rsidRPr="00377529">
        <w:t>Ministry of the Interior: National progress report(s) on the implementation of the Hyogo Framework for Action, 2012 (2009-2011), 2013 (2011-2013), 2014 (2013-2015, interim)</w:t>
      </w:r>
    </w:p>
  </w:footnote>
  <w:footnote w:id="40">
    <w:p w:rsidR="00CA1321" w:rsidRPr="00874917" w:rsidRDefault="00CA1321" w:rsidP="00CA1321">
      <w:pPr>
        <w:pStyle w:val="Funotentext"/>
        <w:rPr>
          <w:lang w:val="en-US"/>
        </w:rPr>
      </w:pPr>
      <w:r>
        <w:rPr>
          <w:rStyle w:val="Funotenzeichen"/>
        </w:rPr>
        <w:footnoteRef/>
      </w:r>
      <w:r>
        <w:t xml:space="preserve"> </w:t>
      </w:r>
      <w:r w:rsidRPr="00C06F5D">
        <w:t>Central Government Communications in Incidents and Emergencies</w:t>
      </w:r>
      <w:r>
        <w:t>. Prime Minister’s Office 03/2013</w:t>
      </w:r>
    </w:p>
  </w:footnote>
  <w:footnote w:id="41">
    <w:p w:rsidR="00CA1321" w:rsidRPr="0008216D" w:rsidRDefault="00CA1321" w:rsidP="00CA1321">
      <w:pPr>
        <w:pStyle w:val="Funotentext"/>
      </w:pPr>
      <w:r>
        <w:rPr>
          <w:rStyle w:val="Funotenzeichen"/>
        </w:rPr>
        <w:footnoteRef/>
      </w:r>
      <w:r>
        <w:t xml:space="preserve"> Peer Review Report Finland 2014.</w:t>
      </w:r>
    </w:p>
  </w:footnote>
  <w:footnote w:id="42">
    <w:p w:rsidR="00CA1321" w:rsidRPr="007B7189" w:rsidRDefault="00CA1321" w:rsidP="00CA1321">
      <w:pPr>
        <w:spacing w:after="240"/>
        <w:rPr>
          <w:sz w:val="20"/>
          <w:szCs w:val="20"/>
        </w:rPr>
      </w:pPr>
      <w:r>
        <w:rPr>
          <w:rStyle w:val="Funotenzeichen"/>
        </w:rPr>
        <w:footnoteRef/>
      </w:r>
      <w:r>
        <w:t xml:space="preserve"> </w:t>
      </w:r>
      <w:r w:rsidRPr="007B7189">
        <w:rPr>
          <w:sz w:val="20"/>
          <w:szCs w:val="20"/>
        </w:rPr>
        <w:t xml:space="preserve">Ministry of the Interior: </w:t>
      </w:r>
      <w:r w:rsidRPr="007B7189">
        <w:rPr>
          <w:i/>
          <w:sz w:val="20"/>
          <w:szCs w:val="20"/>
        </w:rPr>
        <w:t>National Platform for Disaster Risk Reduction</w:t>
      </w:r>
      <w:r w:rsidRPr="007B7189">
        <w:rPr>
          <w:sz w:val="20"/>
          <w:szCs w:val="20"/>
        </w:rPr>
        <w:t>. Ministry of the Interior publication 14/2012</w:t>
      </w:r>
    </w:p>
    <w:p w:rsidR="00CA1321" w:rsidRPr="00F96B07" w:rsidRDefault="00CA1321" w:rsidP="00CA1321">
      <w:pPr>
        <w:pStyle w:val="Funotentext"/>
      </w:pPr>
    </w:p>
  </w:footnote>
  <w:footnote w:id="43">
    <w:p w:rsidR="00CA1321" w:rsidRPr="00874917" w:rsidRDefault="00CA1321" w:rsidP="00CA1321">
      <w:pPr>
        <w:pStyle w:val="Funotentext"/>
        <w:jc w:val="left"/>
        <w:rPr>
          <w:lang w:val="en-US"/>
        </w:rPr>
      </w:pPr>
      <w:r>
        <w:rPr>
          <w:rStyle w:val="Funotenzeichen"/>
        </w:rPr>
        <w:footnoteRef/>
      </w:r>
      <w:r>
        <w:t xml:space="preserve"> VADEMECUM: </w:t>
      </w:r>
      <w:r w:rsidRPr="000C26D4">
        <w:t>Finland - Emergency planning</w:t>
      </w:r>
      <w:r>
        <w:t xml:space="preserve"> </w:t>
      </w:r>
      <w:hyperlink r:id="rId7" w:anchor="cipro" w:history="1">
        <w:r w:rsidRPr="00AD23C2">
          <w:rPr>
            <w:rStyle w:val="Hyperlink"/>
          </w:rPr>
          <w:t>http://ec.europa.eu/echo/files/civil_protection/vademecum/fi/2-fi-2.html#cipro</w:t>
        </w:r>
      </w:hyperlink>
    </w:p>
  </w:footnote>
  <w:footnote w:id="44">
    <w:p w:rsidR="00CA1321" w:rsidRPr="00C8093B" w:rsidRDefault="00CA1321" w:rsidP="00CA1321">
      <w:pPr>
        <w:pStyle w:val="Funotentext"/>
      </w:pPr>
      <w:r>
        <w:rPr>
          <w:rStyle w:val="Funotenzeichen"/>
        </w:rPr>
        <w:footnoteRef/>
      </w:r>
      <w:r>
        <w:t xml:space="preserve"> Finland’s legal preparedness for international disaster response - Finnish Red Cross 2014.</w:t>
      </w:r>
    </w:p>
  </w:footnote>
  <w:footnote w:id="45">
    <w:p w:rsidR="00CA1321" w:rsidRPr="00874917" w:rsidRDefault="00CA1321" w:rsidP="00CA1321">
      <w:pPr>
        <w:pStyle w:val="Funotentext"/>
        <w:jc w:val="left"/>
        <w:rPr>
          <w:lang w:val="en-US"/>
        </w:rPr>
      </w:pPr>
      <w:r>
        <w:rPr>
          <w:rStyle w:val="Funotenzeichen"/>
        </w:rPr>
        <w:footnoteRef/>
      </w:r>
      <w:r>
        <w:t xml:space="preserve"> </w:t>
      </w:r>
      <w:r w:rsidRPr="00874917">
        <w:rPr>
          <w:lang w:val="en-US"/>
        </w:rPr>
        <w:t xml:space="preserve">Ministry of the Environment http://www.ym.fi/en-us/The_environment/Legislation_and_instructions/Climate_change_legislation </w:t>
      </w:r>
    </w:p>
  </w:footnote>
  <w:footnote w:id="46">
    <w:p w:rsidR="00CA1321" w:rsidRPr="00874917" w:rsidRDefault="00CA1321" w:rsidP="00CA1321">
      <w:pPr>
        <w:pStyle w:val="Funotentext"/>
        <w:rPr>
          <w:lang w:val="en-US"/>
        </w:rPr>
      </w:pPr>
      <w:r>
        <w:rPr>
          <w:rStyle w:val="Funotenzeichen"/>
        </w:rPr>
        <w:footnoteRef/>
      </w:r>
      <w:r>
        <w:t xml:space="preserve"> </w:t>
      </w:r>
      <w:r w:rsidRPr="00874917">
        <w:rPr>
          <w:lang w:val="en-US"/>
        </w:rPr>
        <w:t>For available translations of the respective acts, please check http://www.finlex.fi/en/laki/kaannokset/</w:t>
      </w:r>
    </w:p>
  </w:footnote>
  <w:footnote w:id="47">
    <w:p w:rsidR="00CA1321" w:rsidRPr="00C8093B" w:rsidRDefault="00CA1321" w:rsidP="00CA1321">
      <w:pPr>
        <w:pStyle w:val="Funotentext"/>
      </w:pPr>
      <w:r>
        <w:rPr>
          <w:rStyle w:val="Funotenzeichen"/>
        </w:rPr>
        <w:footnoteRef/>
      </w:r>
      <w:r>
        <w:t xml:space="preserve"> </w:t>
      </w:r>
      <w:r w:rsidRPr="00C8093B">
        <w:t>Khakee</w:t>
      </w:r>
      <w:r>
        <w:t xml:space="preserve">, Anna. </w:t>
      </w:r>
      <w:r w:rsidRPr="00C8093B">
        <w:rPr>
          <w:i/>
        </w:rPr>
        <w:t>Securing Democracy? A Comparative Analysis of Emergency Powers in Europe</w:t>
      </w:r>
      <w:r>
        <w:t>. Geneva Centre for the Democratic Control of Armed Forces (DCAF). Policy Paper – №30</w:t>
      </w:r>
    </w:p>
  </w:footnote>
  <w:footnote w:id="48">
    <w:p w:rsidR="00CA1321" w:rsidRPr="00C72B99" w:rsidRDefault="00CA1321" w:rsidP="00CA1321">
      <w:pPr>
        <w:pStyle w:val="Funotentext"/>
      </w:pPr>
      <w:r>
        <w:rPr>
          <w:rStyle w:val="Funotenzeichen"/>
        </w:rPr>
        <w:footnoteRef/>
      </w:r>
      <w:r>
        <w:t xml:space="preserve"> Finland’s legal preparedness for international disaster response - Finnish Red Cross 2014.</w:t>
      </w:r>
    </w:p>
  </w:footnote>
  <w:footnote w:id="49">
    <w:p w:rsidR="00CA1321" w:rsidRPr="00874917" w:rsidRDefault="00CA1321" w:rsidP="00CA1321">
      <w:pPr>
        <w:pStyle w:val="Funotentext"/>
        <w:rPr>
          <w:lang w:val="en-US"/>
        </w:rPr>
      </w:pPr>
      <w:r>
        <w:rPr>
          <w:rStyle w:val="Funotenzeichen"/>
        </w:rPr>
        <w:footnoteRef/>
      </w:r>
      <w:r>
        <w:t xml:space="preserve"> Finland’s legal preparedness for international disaster response - Finnish Red Cross 2014 (p.25)</w:t>
      </w:r>
    </w:p>
  </w:footnote>
  <w:footnote w:id="50">
    <w:p w:rsidR="00CA1321" w:rsidRPr="00EA27D5" w:rsidRDefault="00CA1321" w:rsidP="00CA1321">
      <w:pPr>
        <w:spacing w:after="120"/>
      </w:pPr>
      <w:r>
        <w:rPr>
          <w:rStyle w:val="Funotenzeichen"/>
        </w:rPr>
        <w:footnoteRef/>
      </w:r>
      <w:r>
        <w:t xml:space="preserve"> Ministry of the Interior: </w:t>
      </w:r>
      <w:r w:rsidRPr="00512EC3">
        <w:rPr>
          <w:i/>
        </w:rPr>
        <w:t>National Platform for Disaster Risk Reduction</w:t>
      </w:r>
      <w:r>
        <w:t xml:space="preserve">. </w:t>
      </w:r>
      <w:r w:rsidRPr="00512EC3">
        <w:t>Ministry of the Interior publication 14/2012</w:t>
      </w:r>
    </w:p>
  </w:footnote>
  <w:footnote w:id="51">
    <w:p w:rsidR="00CA1321" w:rsidRPr="00DD5FE2" w:rsidRDefault="00CA1321" w:rsidP="00CA1321">
      <w:pPr>
        <w:pStyle w:val="Funotentext"/>
        <w:jc w:val="left"/>
      </w:pPr>
      <w:r>
        <w:rPr>
          <w:rStyle w:val="Funotenzeichen"/>
        </w:rPr>
        <w:footnoteRef/>
      </w:r>
      <w:r>
        <w:t xml:space="preserve"> Minstry of the Interior: Dep. Of Rescue Services </w:t>
      </w:r>
      <w:hyperlink r:id="rId8" w:history="1">
        <w:r w:rsidRPr="00683B4C">
          <w:rPr>
            <w:rStyle w:val="Hyperlink"/>
          </w:rPr>
          <w:t>http://www.intermin.fi/en/ministry/organisation/department_for_rescue_services</w:t>
        </w:r>
      </w:hyperlink>
      <w:r>
        <w:t xml:space="preserve"> </w:t>
      </w:r>
    </w:p>
  </w:footnote>
  <w:footnote w:id="52">
    <w:p w:rsidR="00CA1321" w:rsidRPr="00C4232A" w:rsidRDefault="00CA1321" w:rsidP="00CA1321">
      <w:pPr>
        <w:pStyle w:val="Funotentext"/>
      </w:pPr>
      <w:r>
        <w:rPr>
          <w:rStyle w:val="Funotenzeichen"/>
        </w:rPr>
        <w:footnoteRef/>
      </w:r>
      <w:r>
        <w:t xml:space="preserve"> </w:t>
      </w:r>
      <w:r w:rsidRPr="00674C87">
        <w:t xml:space="preserve">Emergency Prevention, Preparedness and Response Working Group (EPPR) </w:t>
      </w:r>
      <w:r>
        <w:t xml:space="preserve">of the ARTIC COUNCIL </w:t>
      </w:r>
      <w:hyperlink r:id="rId9" w:history="1">
        <w:r w:rsidRPr="00103223">
          <w:rPr>
            <w:rStyle w:val="Hyperlink"/>
          </w:rPr>
          <w:t>http://www.arctic-council.org/eppr/about-eppr/</w:t>
        </w:r>
      </w:hyperlink>
    </w:p>
  </w:footnote>
  <w:footnote w:id="53">
    <w:p w:rsidR="00CA1321" w:rsidRPr="00BD4CF3" w:rsidRDefault="00CA1321" w:rsidP="00CA1321">
      <w:pPr>
        <w:pStyle w:val="Funotentext"/>
        <w:rPr>
          <w:lang w:val="fr-FR"/>
        </w:rPr>
      </w:pPr>
      <w:r>
        <w:rPr>
          <w:rStyle w:val="Funotenzeichen"/>
        </w:rPr>
        <w:footnoteRef/>
      </w:r>
      <w:r w:rsidRPr="00BD4CF3">
        <w:rPr>
          <w:lang w:val="fr-FR"/>
        </w:rPr>
        <w:t xml:space="preserve"> Crisis Management Centre Finland CMC </w:t>
      </w:r>
      <w:hyperlink r:id="rId10" w:history="1">
        <w:r w:rsidRPr="00BD4CF3">
          <w:rPr>
            <w:rStyle w:val="Hyperlink"/>
            <w:lang w:val="fr-FR"/>
          </w:rPr>
          <w:t>http://www.cmcfinland.fi/en/crisis_management_centre</w:t>
        </w:r>
      </w:hyperlink>
      <w:r w:rsidRPr="00BD4CF3">
        <w:rPr>
          <w:lang w:val="fr-FR"/>
        </w:rPr>
        <w:t xml:space="preserve"> </w:t>
      </w:r>
    </w:p>
  </w:footnote>
  <w:footnote w:id="54">
    <w:p w:rsidR="00CA1321" w:rsidRPr="00383325" w:rsidRDefault="00CA1321" w:rsidP="00CA1321">
      <w:pPr>
        <w:tabs>
          <w:tab w:val="left" w:pos="4536"/>
        </w:tabs>
        <w:spacing w:after="240"/>
        <w:ind w:left="142" w:hanging="142"/>
        <w:jc w:val="left"/>
      </w:pPr>
      <w:r>
        <w:rPr>
          <w:rStyle w:val="Funotenzeichen"/>
        </w:rPr>
        <w:footnoteRef/>
      </w:r>
      <w:r>
        <w:t xml:space="preserve"> </w:t>
      </w:r>
      <w:r w:rsidRPr="00383325">
        <w:rPr>
          <w:sz w:val="20"/>
          <w:szCs w:val="20"/>
        </w:rPr>
        <w:t xml:space="preserve">Emergency Prevention, Preparedness and Response Working Group (EPPR) of the ARTIC COUNCIL </w:t>
      </w:r>
      <w:hyperlink r:id="rId11" w:history="1">
        <w:r w:rsidRPr="00383325">
          <w:rPr>
            <w:rStyle w:val="Hyperlink"/>
            <w:sz w:val="20"/>
            <w:szCs w:val="20"/>
          </w:rPr>
          <w:t>http://www.arctic-council.org/eppr/about-eppr/</w:t>
        </w:r>
      </w:hyperlink>
      <w:r>
        <w:t xml:space="preserve"> </w:t>
      </w:r>
    </w:p>
  </w:footnote>
  <w:footnote w:id="55">
    <w:p w:rsidR="00CA1321" w:rsidRPr="00BD4CF3" w:rsidRDefault="00CA1321" w:rsidP="00CA1321">
      <w:pPr>
        <w:tabs>
          <w:tab w:val="left" w:pos="4536"/>
        </w:tabs>
        <w:spacing w:after="240"/>
        <w:rPr>
          <w:lang w:val="fr-FR"/>
        </w:rPr>
      </w:pPr>
      <w:r>
        <w:rPr>
          <w:rStyle w:val="Funotenzeichen"/>
        </w:rPr>
        <w:footnoteRef/>
      </w:r>
      <w:r>
        <w:t xml:space="preserve"> </w:t>
      </w:r>
      <w:r w:rsidRPr="006E7B15">
        <w:rPr>
          <w:sz w:val="20"/>
          <w:szCs w:val="20"/>
        </w:rPr>
        <w:t xml:space="preserve">Country Study: Finland. The ANVIL project. </w:t>
      </w:r>
      <w:r w:rsidRPr="00BD4CF3">
        <w:rPr>
          <w:sz w:val="20"/>
          <w:szCs w:val="20"/>
          <w:lang w:val="fr-FR"/>
        </w:rPr>
        <w:t>June 2013</w:t>
      </w:r>
      <w:r w:rsidRPr="00BD4CF3">
        <w:rPr>
          <w:lang w:val="fr-FR"/>
        </w:rPr>
        <w:t xml:space="preserve">  </w:t>
      </w:r>
    </w:p>
  </w:footnote>
  <w:footnote w:id="56">
    <w:p w:rsidR="00CA1321" w:rsidRPr="00BD4CF3" w:rsidRDefault="00CA1321" w:rsidP="00CA1321">
      <w:pPr>
        <w:pStyle w:val="Funotentext"/>
        <w:rPr>
          <w:lang w:val="fr-FR"/>
        </w:rPr>
      </w:pPr>
      <w:r>
        <w:rPr>
          <w:rStyle w:val="Funotenzeichen"/>
        </w:rPr>
        <w:footnoteRef/>
      </w:r>
      <w:r w:rsidRPr="00BD4CF3">
        <w:rPr>
          <w:lang w:val="fr-FR"/>
        </w:rPr>
        <w:t xml:space="preserve"> VADEMECUM: Finland </w:t>
      </w:r>
      <w:hyperlink r:id="rId12" w:anchor="inter" w:history="1">
        <w:r w:rsidRPr="00BD4CF3">
          <w:rPr>
            <w:rStyle w:val="Hyperlink"/>
            <w:lang w:val="fr-FR"/>
          </w:rPr>
          <w:t>http://ec.europa.eu/echo/files/civil_protection/vademecum/fi/2-fi-2.html#inter</w:t>
        </w:r>
      </w:hyperlink>
      <w:r w:rsidRPr="00BD4CF3">
        <w:rPr>
          <w:lang w:val="fr-FR"/>
        </w:rPr>
        <w:t xml:space="preserve"> </w:t>
      </w:r>
    </w:p>
  </w:footnote>
  <w:footnote w:id="57">
    <w:p w:rsidR="00CA1321" w:rsidRPr="00993809" w:rsidRDefault="00CA1321" w:rsidP="00CA1321">
      <w:pPr>
        <w:pStyle w:val="Funotentext"/>
      </w:pPr>
      <w:r>
        <w:rPr>
          <w:rStyle w:val="Funotenzeichen"/>
        </w:rPr>
        <w:footnoteRef/>
      </w:r>
      <w:r>
        <w:t xml:space="preserve"> </w:t>
      </w:r>
      <w:r w:rsidRPr="00993809">
        <w:t xml:space="preserve">Stockholm International Peace Research Institute </w:t>
      </w:r>
      <w:r>
        <w:t xml:space="preserve">SIPRI. </w:t>
      </w:r>
      <w:r w:rsidRPr="00383325">
        <w:rPr>
          <w:i/>
        </w:rPr>
        <w:t>The effectiveness of foreign military assets in natural disaster response</w:t>
      </w:r>
      <w:r>
        <w:t>.</w:t>
      </w:r>
      <w:r w:rsidRPr="00993809">
        <w:t xml:space="preserve"> Solna, 2008.</w:t>
      </w:r>
    </w:p>
  </w:footnote>
  <w:footnote w:id="58">
    <w:p w:rsidR="00CA1321" w:rsidRPr="00F94B15" w:rsidRDefault="00CA1321" w:rsidP="00CA1321">
      <w:pPr>
        <w:pStyle w:val="Funotentext"/>
      </w:pPr>
      <w:r>
        <w:rPr>
          <w:rStyle w:val="Funotenzeichen"/>
        </w:rPr>
        <w:footnoteRef/>
      </w:r>
      <w:r>
        <w:t xml:space="preserve"> Ministry of Foreign Affairs. </w:t>
      </w:r>
      <w:r w:rsidRPr="00F94B15">
        <w:rPr>
          <w:i/>
        </w:rPr>
        <w:t>Finland’s Comprehensive Crisis Management Strategy</w:t>
      </w:r>
      <w:r>
        <w:t>. 2009</w:t>
      </w:r>
    </w:p>
  </w:footnote>
  <w:footnote w:id="59">
    <w:p w:rsidR="00CA1321" w:rsidRPr="00611371" w:rsidRDefault="00CA1321" w:rsidP="00CA1321">
      <w:pPr>
        <w:pStyle w:val="Funotentext"/>
      </w:pPr>
      <w:r>
        <w:rPr>
          <w:rStyle w:val="Funotenzeichen"/>
        </w:rPr>
        <w:footnoteRef/>
      </w:r>
      <w:r>
        <w:t xml:space="preserve"> For more information on the respective agreements, see Finland’s legal preparedness for international disaster response - Finnish Red Cross 2014</w:t>
      </w:r>
      <w:r w:rsidRPr="00611371">
        <w:t xml:space="preserve"> </w:t>
      </w:r>
      <w:r>
        <w:t xml:space="preserve">under </w:t>
      </w:r>
      <w:hyperlink r:id="rId13" w:history="1">
        <w:r w:rsidRPr="00103223">
          <w:rPr>
            <w:rStyle w:val="Hyperlink"/>
          </w:rPr>
          <w:t>http://www.ifrc.org/en/what-we-do/disaster-law/news/europe/</w:t>
        </w:r>
      </w:hyperlink>
      <w:r>
        <w:t xml:space="preserve"> </w:t>
      </w:r>
    </w:p>
  </w:footnote>
  <w:footnote w:id="60">
    <w:p w:rsidR="00CA1321" w:rsidRPr="00B83D0E" w:rsidRDefault="00CA1321" w:rsidP="00CA1321">
      <w:pPr>
        <w:pStyle w:val="Funotentext"/>
      </w:pPr>
      <w:r>
        <w:rPr>
          <w:rStyle w:val="Funotenzeichen"/>
        </w:rPr>
        <w:footnoteRef/>
      </w:r>
      <w:r>
        <w:t xml:space="preserve"> Finland’s legal preparedness for international disaster response - Finnish Red Cross 2014 (p.34 f)</w:t>
      </w:r>
    </w:p>
  </w:footnote>
  <w:footnote w:id="61">
    <w:p w:rsidR="00CA1321" w:rsidRPr="00B83D0E" w:rsidRDefault="00CA1321" w:rsidP="00CA1321">
      <w:pPr>
        <w:pStyle w:val="Funotentext"/>
      </w:pPr>
      <w:r>
        <w:rPr>
          <w:rStyle w:val="Funotenzeichen"/>
        </w:rPr>
        <w:footnoteRef/>
      </w:r>
      <w:r>
        <w:t xml:space="preserve"> The Government Situation Centre has no jurisdiction to issue decrees or regulations and serves as a coordinating authority only. It receives event notifications and reports from international partners and follows the news cycle. (Red Cross report)</w:t>
      </w:r>
    </w:p>
  </w:footnote>
  <w:footnote w:id="62">
    <w:p w:rsidR="00CA1321" w:rsidRPr="006C64D1" w:rsidRDefault="00CA1321" w:rsidP="00CA1321">
      <w:pPr>
        <w:pStyle w:val="Funotentext"/>
      </w:pPr>
      <w:r>
        <w:rPr>
          <w:rStyle w:val="Funotenzeichen"/>
        </w:rPr>
        <w:footnoteRef/>
      </w:r>
      <w:r>
        <w:t xml:space="preserve"> </w:t>
      </w:r>
      <w:r w:rsidRPr="00E64741">
        <w:t>Safety Manual of the Port of Kokkola</w:t>
      </w:r>
      <w:r>
        <w:t xml:space="preserve"> </w:t>
      </w:r>
      <w:hyperlink r:id="rId14" w:history="1">
        <w:r w:rsidRPr="00103223">
          <w:rPr>
            <w:rStyle w:val="Hyperlink"/>
          </w:rPr>
          <w:t>http://www.portofkokkola.fi/safety/guide/?lang=en</w:t>
        </w:r>
      </w:hyperlink>
      <w:r>
        <w:t xml:space="preserve"> </w:t>
      </w:r>
    </w:p>
  </w:footnote>
  <w:footnote w:id="63">
    <w:p w:rsidR="00CA1321" w:rsidRPr="00874917" w:rsidRDefault="00CA1321" w:rsidP="00CA1321">
      <w:pPr>
        <w:pStyle w:val="Funotentext"/>
        <w:rPr>
          <w:lang w:val="en-US"/>
        </w:rPr>
      </w:pPr>
      <w:r>
        <w:rPr>
          <w:rStyle w:val="Funotenzeichen"/>
        </w:rPr>
        <w:footnoteRef/>
      </w:r>
      <w:r>
        <w:t xml:space="preserve"> </w:t>
      </w:r>
      <w:r w:rsidRPr="00C06F5D">
        <w:t>Central Government Communications in Incidents and Emergencies</w:t>
      </w:r>
      <w:r>
        <w:t>. Prime Minister’s Office 03/2013 (Foreword)</w:t>
      </w:r>
    </w:p>
  </w:footnote>
  <w:footnote w:id="64">
    <w:p w:rsidR="00CA1321" w:rsidRPr="00874917" w:rsidRDefault="00CA1321" w:rsidP="00CA1321">
      <w:pPr>
        <w:pStyle w:val="Funotentext"/>
        <w:rPr>
          <w:lang w:val="en-US"/>
        </w:rPr>
      </w:pPr>
      <w:r w:rsidRPr="0063323C">
        <w:rPr>
          <w:rStyle w:val="Funotenzeichen"/>
        </w:rPr>
        <w:footnoteRef/>
      </w:r>
      <w:r w:rsidRPr="0063323C">
        <w:t xml:space="preserve"> </w:t>
      </w:r>
      <w:r w:rsidRPr="006E7B15">
        <w:rPr>
          <w:rFonts w:cs="Tahoma"/>
        </w:rPr>
        <w:t>Government Communications in Crisis Situations and Emergencies. Prime Minister’s Office 20/2007</w:t>
      </w:r>
    </w:p>
  </w:footnote>
  <w:footnote w:id="65">
    <w:p w:rsidR="00CA1321" w:rsidRPr="00DD5FE2" w:rsidRDefault="00CA1321" w:rsidP="00CA1321">
      <w:pPr>
        <w:pStyle w:val="Funotentext"/>
      </w:pPr>
      <w:r>
        <w:rPr>
          <w:rStyle w:val="Funotenzeichen"/>
        </w:rPr>
        <w:footnoteRef/>
      </w:r>
      <w:r>
        <w:t xml:space="preserve"> More information on EU FP7 project ISAR+ at </w:t>
      </w:r>
      <w:hyperlink r:id="rId15" w:history="1">
        <w:r w:rsidRPr="008F40F4">
          <w:rPr>
            <w:rStyle w:val="Hyperlink"/>
          </w:rPr>
          <w:t>http://isar.i112.eu/index.html</w:t>
        </w:r>
      </w:hyperlink>
      <w:r>
        <w:t xml:space="preserve"> </w:t>
      </w:r>
    </w:p>
  </w:footnote>
  <w:footnote w:id="66">
    <w:p w:rsidR="00CA1321" w:rsidRPr="008A0CF6" w:rsidRDefault="00CA1321" w:rsidP="00CA1321">
      <w:pPr>
        <w:pStyle w:val="Funotentext"/>
      </w:pPr>
      <w:r>
        <w:rPr>
          <w:rStyle w:val="Funotenzeichen"/>
        </w:rPr>
        <w:footnoteRef/>
      </w:r>
      <w:r>
        <w:t xml:space="preserve"> Peer Review Report Finland 2014.</w:t>
      </w:r>
    </w:p>
  </w:footnote>
  <w:footnote w:id="67">
    <w:p w:rsidR="00CA1321" w:rsidRPr="00E77307" w:rsidRDefault="00CA1321" w:rsidP="00CA1321">
      <w:pPr>
        <w:pStyle w:val="Funotentext"/>
      </w:pPr>
      <w:r>
        <w:rPr>
          <w:rStyle w:val="Funotenzeichen"/>
        </w:rPr>
        <w:footnoteRef/>
      </w:r>
      <w:r>
        <w:t xml:space="preserve"> </w:t>
      </w:r>
      <w:r w:rsidRPr="00D8044E">
        <w:t>Ministry of the Interior</w:t>
      </w:r>
      <w:r>
        <w:t xml:space="preserve"> - </w:t>
      </w:r>
      <w:r w:rsidRPr="00D8044E">
        <w:t>Department for Rescue Services</w:t>
      </w:r>
      <w:r>
        <w:t xml:space="preserve">. </w:t>
      </w:r>
      <w:r w:rsidRPr="00D8044E">
        <w:rPr>
          <w:i/>
        </w:rPr>
        <w:t>Rescue services in Finland</w:t>
      </w:r>
      <w:r>
        <w:t>. 2013</w:t>
      </w:r>
    </w:p>
  </w:footnote>
  <w:footnote w:id="68">
    <w:p w:rsidR="00CA1321" w:rsidRPr="00411C17" w:rsidRDefault="00CA1321" w:rsidP="00CA1321">
      <w:pPr>
        <w:pStyle w:val="Funotentext"/>
      </w:pPr>
      <w:r>
        <w:rPr>
          <w:rStyle w:val="Funotenzeichen"/>
        </w:rPr>
        <w:footnoteRef/>
      </w:r>
      <w:r>
        <w:t xml:space="preserve"> Number vary between 570 and 635 (RESCUE SERVICES IN NORTHERN FINLAND - COMPREHENSIVE REPORT 2009) from different resources, nevertheless the official statement by the rescue services from 2013 is listed</w:t>
      </w:r>
    </w:p>
  </w:footnote>
  <w:footnote w:id="69">
    <w:p w:rsidR="00CA1321" w:rsidRPr="00753992" w:rsidRDefault="00CA1321" w:rsidP="00CA1321">
      <w:pPr>
        <w:pStyle w:val="Funotentext"/>
      </w:pPr>
      <w:r>
        <w:rPr>
          <w:rStyle w:val="Funotenzeichen"/>
        </w:rPr>
        <w:footnoteRef/>
      </w:r>
      <w:r>
        <w:t xml:space="preserve"> Logistics Centre of the Red Cross </w:t>
      </w:r>
      <w:hyperlink r:id="rId16" w:history="1">
        <w:r w:rsidRPr="00103223">
          <w:rPr>
            <w:rStyle w:val="Hyperlink"/>
          </w:rPr>
          <w:t>https://www.redcross.fi/node/1556/what-finnish-red-cross/logistics-centre-finnish-red-cross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A1321" w:rsidRDefault="00CA1321" w:rsidP="00EB147C">
    <w:pPr>
      <w:pStyle w:val="KeinLeerraum"/>
      <w:tabs>
        <w:tab w:val="left" w:pos="8265"/>
      </w:tabs>
    </w:pPr>
    <w:r>
      <w:rPr>
        <w:noProof/>
        <w:lang w:val="es-ES" w:eastAsia="es-ES"/>
      </w:rPr>
      <w:drawing>
        <wp:anchor distT="0" distB="0" distL="114300" distR="114300" simplePos="0" relativeHeight="251659264" behindDoc="0" locked="0" layoutInCell="1" allowOverlap="1" wp14:anchorId="6FDB673C" wp14:editId="4F144C9A">
          <wp:simplePos x="0" y="0"/>
          <wp:positionH relativeFrom="column">
            <wp:posOffset>4367530</wp:posOffset>
          </wp:positionH>
          <wp:positionV relativeFrom="paragraph">
            <wp:posOffset>-170815</wp:posOffset>
          </wp:positionV>
          <wp:extent cx="1454150" cy="426720"/>
          <wp:effectExtent l="0" t="0" r="0" b="0"/>
          <wp:wrapSquare wrapText="bothSides"/>
          <wp:docPr id="676023" name="Grafik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extLst>
                      <a:ext uri="{96DAC541-7B7A-43D3-8B79-37D633B846F1}">
                        <asvg:svgBlip xmlns:asvg="http://schemas.microsoft.com/office/drawing/2016/SVG/main" r:embed="rId2"/>
                      </a:ext>
                    </a:extLst>
                  </a:blip>
                  <a:stretch>
                    <a:fillRect/>
                  </a:stretch>
                </pic:blipFill>
                <pic:spPr bwMode="auto">
                  <a:xfrm>
                    <a:off x="0" y="0"/>
                    <a:ext cx="1454150" cy="426720"/>
                  </a:xfrm>
                  <a:prstGeom prst="rect">
                    <a:avLst/>
                  </a:prstGeom>
                </pic:spPr>
              </pic:pic>
            </a:graphicData>
          </a:graphic>
          <wp14:sizeRelV relativeFrom="margin">
            <wp14:pctHeight>0</wp14:pctHeight>
          </wp14:sizeRelV>
        </wp:anchor>
      </w:drawing>
    </w:r>
    <w:r>
      <w:rPr>
        <w:smallCaps/>
        <w:lang w:val="en-GB"/>
      </w:rPr>
      <w:t>Country Study: Finland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676A73A"/>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00000002"/>
    <w:multiLevelType w:val="multilevel"/>
    <w:tmpl w:val="00000002"/>
    <w:lvl w:ilvl="0">
      <w:start w:val="1"/>
      <w:numFmt w:val="bullet"/>
      <w:pStyle w:val="Heading10"/>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 w15:restartNumberingAfterBreak="0">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5"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 w15:restartNumberingAfterBreak="0">
    <w:nsid w:val="0000000A"/>
    <w:multiLevelType w:val="multilevel"/>
    <w:tmpl w:val="0000000A"/>
    <w:name w:val="WW8Num10"/>
    <w:lvl w:ilvl="0">
      <w:start w:val="1"/>
      <w:numFmt w:val="bullet"/>
      <w:lvlText w:val=""/>
      <w:lvlJc w:val="left"/>
      <w:pPr>
        <w:tabs>
          <w:tab w:val="num" w:pos="1080"/>
        </w:tabs>
        <w:ind w:left="1080" w:hanging="360"/>
      </w:pPr>
      <w:rPr>
        <w:rFonts w:ascii="Symbol" w:hAnsi="Symbol" w:cs="Symbol"/>
      </w:rPr>
    </w:lvl>
    <w:lvl w:ilvl="1">
      <w:start w:val="1"/>
      <w:numFmt w:val="bullet"/>
      <w:lvlText w:val="o"/>
      <w:lvlJc w:val="left"/>
      <w:pPr>
        <w:tabs>
          <w:tab w:val="num" w:pos="1800"/>
        </w:tabs>
        <w:ind w:left="1800" w:hanging="360"/>
      </w:pPr>
      <w:rPr>
        <w:rFonts w:ascii="Courier New" w:hAnsi="Courier New" w:cs="Courier New"/>
      </w:rPr>
    </w:lvl>
    <w:lvl w:ilvl="2">
      <w:start w:val="1"/>
      <w:numFmt w:val="bullet"/>
      <w:lvlText w:val=""/>
      <w:lvlJc w:val="left"/>
      <w:pPr>
        <w:tabs>
          <w:tab w:val="num" w:pos="2520"/>
        </w:tabs>
        <w:ind w:left="2520" w:hanging="360"/>
      </w:pPr>
      <w:rPr>
        <w:rFonts w:ascii="Wingdings" w:hAnsi="Wingdings" w:cs="Wingdings"/>
      </w:rPr>
    </w:lvl>
    <w:lvl w:ilvl="3">
      <w:start w:val="1"/>
      <w:numFmt w:val="bullet"/>
      <w:lvlText w:val=""/>
      <w:lvlJc w:val="left"/>
      <w:pPr>
        <w:tabs>
          <w:tab w:val="num" w:pos="3240"/>
        </w:tabs>
        <w:ind w:left="3240" w:hanging="360"/>
      </w:pPr>
      <w:rPr>
        <w:rFonts w:ascii="Symbol" w:hAnsi="Symbol" w:cs="Symbol"/>
      </w:rPr>
    </w:lvl>
    <w:lvl w:ilvl="4">
      <w:start w:val="1"/>
      <w:numFmt w:val="bullet"/>
      <w:lvlText w:val="o"/>
      <w:lvlJc w:val="left"/>
      <w:pPr>
        <w:tabs>
          <w:tab w:val="num" w:pos="3960"/>
        </w:tabs>
        <w:ind w:left="3960" w:hanging="360"/>
      </w:pPr>
      <w:rPr>
        <w:rFonts w:ascii="Courier New" w:hAnsi="Courier New" w:cs="Courier New"/>
      </w:rPr>
    </w:lvl>
    <w:lvl w:ilvl="5">
      <w:start w:val="1"/>
      <w:numFmt w:val="bullet"/>
      <w:lvlText w:val=""/>
      <w:lvlJc w:val="left"/>
      <w:pPr>
        <w:tabs>
          <w:tab w:val="num" w:pos="4680"/>
        </w:tabs>
        <w:ind w:left="4680" w:hanging="360"/>
      </w:pPr>
      <w:rPr>
        <w:rFonts w:ascii="Wingdings" w:hAnsi="Wingdings" w:cs="Wingdings"/>
      </w:rPr>
    </w:lvl>
    <w:lvl w:ilvl="6">
      <w:start w:val="1"/>
      <w:numFmt w:val="bullet"/>
      <w:lvlText w:val=""/>
      <w:lvlJc w:val="left"/>
      <w:pPr>
        <w:tabs>
          <w:tab w:val="num" w:pos="5400"/>
        </w:tabs>
        <w:ind w:left="5400" w:hanging="360"/>
      </w:pPr>
      <w:rPr>
        <w:rFonts w:ascii="Symbol" w:hAnsi="Symbol" w:cs="Symbol"/>
      </w:rPr>
    </w:lvl>
    <w:lvl w:ilvl="7">
      <w:start w:val="1"/>
      <w:numFmt w:val="bullet"/>
      <w:lvlText w:val="o"/>
      <w:lvlJc w:val="left"/>
      <w:pPr>
        <w:tabs>
          <w:tab w:val="num" w:pos="6120"/>
        </w:tabs>
        <w:ind w:left="6120" w:hanging="360"/>
      </w:pPr>
      <w:rPr>
        <w:rFonts w:ascii="Courier New" w:hAnsi="Courier New" w:cs="Courier New"/>
      </w:rPr>
    </w:lvl>
    <w:lvl w:ilvl="8">
      <w:start w:val="1"/>
      <w:numFmt w:val="bullet"/>
      <w:lvlText w:val=""/>
      <w:lvlJc w:val="left"/>
      <w:pPr>
        <w:tabs>
          <w:tab w:val="num" w:pos="6840"/>
        </w:tabs>
        <w:ind w:left="6840" w:hanging="360"/>
      </w:pPr>
      <w:rPr>
        <w:rFonts w:ascii="Wingdings" w:hAnsi="Wingdings" w:cs="Wingdings"/>
      </w:rPr>
    </w:lvl>
  </w:abstractNum>
  <w:abstractNum w:abstractNumId="7"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8"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9"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0"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1"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00000010"/>
    <w:multiLevelType w:val="multilevel"/>
    <w:tmpl w:val="00000010"/>
    <w:name w:val="WW8Num16"/>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00000011"/>
    <w:multiLevelType w:val="multilevel"/>
    <w:tmpl w:val="00000011"/>
    <w:name w:val="WW8Num1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15:restartNumberingAfterBreak="0">
    <w:nsid w:val="00000012"/>
    <w:multiLevelType w:val="multilevel"/>
    <w:tmpl w:val="00000012"/>
    <w:name w:val="WW8Num1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5" w15:restartNumberingAfterBreak="0">
    <w:nsid w:val="00000013"/>
    <w:multiLevelType w:val="multilevel"/>
    <w:tmpl w:val="00000013"/>
    <w:name w:val="WW8Num1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6"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7" w15:restartNumberingAfterBreak="0">
    <w:nsid w:val="00000015"/>
    <w:multiLevelType w:val="multilevel"/>
    <w:tmpl w:val="00000015"/>
    <w:name w:val="WW8Num2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8" w15:restartNumberingAfterBreak="0">
    <w:nsid w:val="00000016"/>
    <w:multiLevelType w:val="multilevel"/>
    <w:tmpl w:val="00000016"/>
    <w:name w:val="WW8Num2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9" w15:restartNumberingAfterBreak="0">
    <w:nsid w:val="00000017"/>
    <w:multiLevelType w:val="multilevel"/>
    <w:tmpl w:val="00000017"/>
    <w:name w:val="WW8Num2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0"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1" w15:restartNumberingAfterBreak="0">
    <w:nsid w:val="12544920"/>
    <w:multiLevelType w:val="hybridMultilevel"/>
    <w:tmpl w:val="3F26E2AC"/>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15:restartNumberingAfterBreak="0">
    <w:nsid w:val="1F000329"/>
    <w:multiLevelType w:val="multilevel"/>
    <w:tmpl w:val="12AA85EE"/>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lvl>
    <w:lvl w:ilvl="2">
      <w:start w:val="1"/>
      <w:numFmt w:val="decimal"/>
      <w:pStyle w:val="berschrift3"/>
      <w:lvlText w:val="%1.%2.%3"/>
      <w:lvlJc w:val="left"/>
      <w:pPr>
        <w:ind w:left="1288"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23" w15:restartNumberingAfterBreak="0">
    <w:nsid w:val="2FAF02DF"/>
    <w:multiLevelType w:val="hybridMultilevel"/>
    <w:tmpl w:val="63DEC134"/>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3BF443FE"/>
    <w:multiLevelType w:val="hybridMultilevel"/>
    <w:tmpl w:val="C41AAF0C"/>
    <w:lvl w:ilvl="0" w:tplc="D1CAF3A2">
      <w:start w:val="1"/>
      <w:numFmt w:val="decimal"/>
      <w:pStyle w:val="Enumm"/>
      <w:lvlText w:val="%1."/>
      <w:lvlJc w:val="left"/>
      <w:pPr>
        <w:ind w:left="360" w:hanging="360"/>
      </w:pPr>
      <w:rPr>
        <w:rFonts w:hint="default"/>
        <w:color w:val="000000" w:themeColor="text1"/>
      </w:rPr>
    </w:lvl>
    <w:lvl w:ilvl="1" w:tplc="0C070019" w:tentative="1">
      <w:start w:val="1"/>
      <w:numFmt w:val="lowerLetter"/>
      <w:lvlText w:val="%2."/>
      <w:lvlJc w:val="left"/>
      <w:pPr>
        <w:ind w:left="1080" w:hanging="360"/>
      </w:pPr>
    </w:lvl>
    <w:lvl w:ilvl="2" w:tplc="0C07001B" w:tentative="1">
      <w:start w:val="1"/>
      <w:numFmt w:val="lowerRoman"/>
      <w:lvlText w:val="%3."/>
      <w:lvlJc w:val="right"/>
      <w:pPr>
        <w:ind w:left="1800" w:hanging="180"/>
      </w:pPr>
    </w:lvl>
    <w:lvl w:ilvl="3" w:tplc="0C07000F" w:tentative="1">
      <w:start w:val="1"/>
      <w:numFmt w:val="decimal"/>
      <w:lvlText w:val="%4."/>
      <w:lvlJc w:val="left"/>
      <w:pPr>
        <w:ind w:left="2520" w:hanging="360"/>
      </w:pPr>
    </w:lvl>
    <w:lvl w:ilvl="4" w:tplc="0C070019" w:tentative="1">
      <w:start w:val="1"/>
      <w:numFmt w:val="lowerLetter"/>
      <w:lvlText w:val="%5."/>
      <w:lvlJc w:val="left"/>
      <w:pPr>
        <w:ind w:left="3240" w:hanging="360"/>
      </w:pPr>
    </w:lvl>
    <w:lvl w:ilvl="5" w:tplc="0C07001B" w:tentative="1">
      <w:start w:val="1"/>
      <w:numFmt w:val="lowerRoman"/>
      <w:lvlText w:val="%6."/>
      <w:lvlJc w:val="right"/>
      <w:pPr>
        <w:ind w:left="3960" w:hanging="180"/>
      </w:pPr>
    </w:lvl>
    <w:lvl w:ilvl="6" w:tplc="0C07000F" w:tentative="1">
      <w:start w:val="1"/>
      <w:numFmt w:val="decimal"/>
      <w:lvlText w:val="%7."/>
      <w:lvlJc w:val="left"/>
      <w:pPr>
        <w:ind w:left="4680" w:hanging="360"/>
      </w:pPr>
    </w:lvl>
    <w:lvl w:ilvl="7" w:tplc="0C070019" w:tentative="1">
      <w:start w:val="1"/>
      <w:numFmt w:val="lowerLetter"/>
      <w:lvlText w:val="%8."/>
      <w:lvlJc w:val="left"/>
      <w:pPr>
        <w:ind w:left="5400" w:hanging="360"/>
      </w:pPr>
    </w:lvl>
    <w:lvl w:ilvl="8" w:tplc="0C07001B" w:tentative="1">
      <w:start w:val="1"/>
      <w:numFmt w:val="lowerRoman"/>
      <w:lvlText w:val="%9."/>
      <w:lvlJc w:val="right"/>
      <w:pPr>
        <w:ind w:left="6120" w:hanging="180"/>
      </w:pPr>
    </w:lvl>
  </w:abstractNum>
  <w:abstractNum w:abstractNumId="25" w15:restartNumberingAfterBreak="0">
    <w:nsid w:val="5BF9243F"/>
    <w:multiLevelType w:val="hybridMultilevel"/>
    <w:tmpl w:val="A710C52A"/>
    <w:lvl w:ilvl="0" w:tplc="491C08EC">
      <w:start w:val="1"/>
      <w:numFmt w:val="bullet"/>
      <w:pStyle w:val="BulletedList"/>
      <w:lvlText w:val=""/>
      <w:lvlJc w:val="left"/>
      <w:pPr>
        <w:ind w:left="720" w:hanging="360"/>
      </w:pPr>
      <w:rPr>
        <w:rFonts w:ascii="Symbol" w:hAnsi="Symbol" w:hint="default"/>
        <w:color w:val="7030A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B3477D"/>
    <w:multiLevelType w:val="hybridMultilevel"/>
    <w:tmpl w:val="B66E07D0"/>
    <w:lvl w:ilvl="0" w:tplc="1CFA0E80">
      <w:numFmt w:val="bullet"/>
      <w:lvlText w:val="•"/>
      <w:lvlJc w:val="left"/>
      <w:pPr>
        <w:ind w:left="1420" w:hanging="360"/>
      </w:pPr>
      <w:rPr>
        <w:rFonts w:ascii="Calibri" w:eastAsiaTheme="minorHAnsi" w:hAnsi="Calibri" w:cstheme="minorBidi" w:hint="default"/>
        <w:b/>
        <w:sz w:val="16"/>
        <w:u w:color="5C2A59"/>
        <w:vertAlign w:val="baseline"/>
      </w:rPr>
    </w:lvl>
    <w:lvl w:ilvl="1" w:tplc="04070003">
      <w:start w:val="1"/>
      <w:numFmt w:val="bullet"/>
      <w:lvlText w:val="o"/>
      <w:lvlJc w:val="left"/>
      <w:pPr>
        <w:ind w:left="2361" w:hanging="360"/>
      </w:pPr>
      <w:rPr>
        <w:rFonts w:ascii="Courier New" w:hAnsi="Courier New" w:cs="Courier New" w:hint="default"/>
      </w:rPr>
    </w:lvl>
    <w:lvl w:ilvl="2" w:tplc="04070005" w:tentative="1">
      <w:start w:val="1"/>
      <w:numFmt w:val="bullet"/>
      <w:lvlText w:val=""/>
      <w:lvlJc w:val="left"/>
      <w:pPr>
        <w:ind w:left="3081" w:hanging="360"/>
      </w:pPr>
      <w:rPr>
        <w:rFonts w:ascii="Marlett" w:hAnsi="Marlett" w:hint="default"/>
      </w:rPr>
    </w:lvl>
    <w:lvl w:ilvl="3" w:tplc="04070001" w:tentative="1">
      <w:start w:val="1"/>
      <w:numFmt w:val="bullet"/>
      <w:lvlText w:val=""/>
      <w:lvlJc w:val="left"/>
      <w:pPr>
        <w:ind w:left="3801" w:hanging="360"/>
      </w:pPr>
      <w:rPr>
        <w:rFonts w:ascii="Symbol" w:hAnsi="Symbol" w:hint="default"/>
      </w:rPr>
    </w:lvl>
    <w:lvl w:ilvl="4" w:tplc="04070003" w:tentative="1">
      <w:start w:val="1"/>
      <w:numFmt w:val="bullet"/>
      <w:lvlText w:val="o"/>
      <w:lvlJc w:val="left"/>
      <w:pPr>
        <w:ind w:left="4521" w:hanging="360"/>
      </w:pPr>
      <w:rPr>
        <w:rFonts w:ascii="Courier New" w:hAnsi="Courier New" w:cs="Courier New" w:hint="default"/>
      </w:rPr>
    </w:lvl>
    <w:lvl w:ilvl="5" w:tplc="04070005" w:tentative="1">
      <w:start w:val="1"/>
      <w:numFmt w:val="bullet"/>
      <w:lvlText w:val=""/>
      <w:lvlJc w:val="left"/>
      <w:pPr>
        <w:ind w:left="5241" w:hanging="360"/>
      </w:pPr>
      <w:rPr>
        <w:rFonts w:ascii="Marlett" w:hAnsi="Marlett" w:hint="default"/>
      </w:rPr>
    </w:lvl>
    <w:lvl w:ilvl="6" w:tplc="04070001" w:tentative="1">
      <w:start w:val="1"/>
      <w:numFmt w:val="bullet"/>
      <w:lvlText w:val=""/>
      <w:lvlJc w:val="left"/>
      <w:pPr>
        <w:ind w:left="5961" w:hanging="360"/>
      </w:pPr>
      <w:rPr>
        <w:rFonts w:ascii="Symbol" w:hAnsi="Symbol" w:hint="default"/>
      </w:rPr>
    </w:lvl>
    <w:lvl w:ilvl="7" w:tplc="04070003" w:tentative="1">
      <w:start w:val="1"/>
      <w:numFmt w:val="bullet"/>
      <w:lvlText w:val="o"/>
      <w:lvlJc w:val="left"/>
      <w:pPr>
        <w:ind w:left="6681" w:hanging="360"/>
      </w:pPr>
      <w:rPr>
        <w:rFonts w:ascii="Courier New" w:hAnsi="Courier New" w:cs="Courier New" w:hint="default"/>
      </w:rPr>
    </w:lvl>
    <w:lvl w:ilvl="8" w:tplc="04070005" w:tentative="1">
      <w:start w:val="1"/>
      <w:numFmt w:val="bullet"/>
      <w:lvlText w:val=""/>
      <w:lvlJc w:val="left"/>
      <w:pPr>
        <w:ind w:left="7401" w:hanging="360"/>
      </w:pPr>
      <w:rPr>
        <w:rFonts w:ascii="Marlett" w:hAnsi="Marlett" w:hint="default"/>
      </w:rPr>
    </w:lvl>
  </w:abstractNum>
  <w:num w:numId="1">
    <w:abstractNumId w:val="22"/>
  </w:num>
  <w:num w:numId="2">
    <w:abstractNumId w:val="25"/>
  </w:num>
  <w:num w:numId="3">
    <w:abstractNumId w:val="24"/>
  </w:num>
  <w:num w:numId="4">
    <w:abstractNumId w:val="21"/>
  </w:num>
  <w:num w:numId="5">
    <w:abstractNumId w:val="23"/>
  </w:num>
  <w:num w:numId="6">
    <w:abstractNumId w:val="26"/>
  </w:num>
  <w:num w:numId="7">
    <w:abstractNumId w:val="0"/>
  </w:num>
  <w:num w:numId="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321"/>
    <w:rsid w:val="004C232D"/>
    <w:rsid w:val="00AD6C3B"/>
    <w:rsid w:val="00CA13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01465D-6688-4DFE-BDA1-87133C4B8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39" w:unhideWhenUsed="1" w:qFormat="1"/>
    <w:lsdException w:name="heading 7" w:semiHidden="1" w:uiPriority="39" w:unhideWhenUsed="1" w:qFormat="1"/>
    <w:lsdException w:name="heading 8" w:semiHidden="1" w:uiPriority="39" w:unhideWhenUsed="1" w:qFormat="1"/>
    <w:lsdException w:name="heading 9" w:semiHidden="1" w:uiPriority="3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2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A1321"/>
    <w:pPr>
      <w:spacing w:before="60" w:after="60" w:line="276" w:lineRule="auto"/>
      <w:jc w:val="both"/>
    </w:pPr>
    <w:rPr>
      <w:lang w:val="en-GB"/>
    </w:rPr>
  </w:style>
  <w:style w:type="paragraph" w:styleId="berschrift1">
    <w:name w:val="heading 1"/>
    <w:basedOn w:val="Standard"/>
    <w:next w:val="Standard"/>
    <w:link w:val="berschrift1Zchn"/>
    <w:uiPriority w:val="9"/>
    <w:qFormat/>
    <w:rsid w:val="00CA1321"/>
    <w:pPr>
      <w:keepNext/>
      <w:keepLines/>
      <w:pageBreakBefore/>
      <w:numPr>
        <w:numId w:val="1"/>
      </w:numPr>
      <w:pBdr>
        <w:bottom w:val="single" w:sz="4" w:space="1" w:color="5C2A59"/>
      </w:pBdr>
      <w:shd w:val="clear" w:color="auto" w:fill="FAF5E6"/>
      <w:spacing w:before="480" w:after="100" w:afterAutospacing="1"/>
      <w:outlineLvl w:val="0"/>
    </w:pPr>
    <w:rPr>
      <w:rFonts w:ascii="Century Gothic" w:eastAsiaTheme="majorEastAsia" w:hAnsi="Century Gothic" w:cstheme="majorBidi"/>
      <w:bCs/>
      <w:color w:val="5C2A59"/>
      <w:sz w:val="40"/>
      <w:szCs w:val="28"/>
      <w:lang w:val="en-US"/>
    </w:rPr>
  </w:style>
  <w:style w:type="paragraph" w:styleId="berschrift2">
    <w:name w:val="heading 2"/>
    <w:basedOn w:val="Standard"/>
    <w:next w:val="Standard"/>
    <w:link w:val="berschrift2Zchn"/>
    <w:uiPriority w:val="9"/>
    <w:unhideWhenUsed/>
    <w:qFormat/>
    <w:rsid w:val="00CA1321"/>
    <w:pPr>
      <w:keepNext/>
      <w:keepLines/>
      <w:numPr>
        <w:ilvl w:val="1"/>
        <w:numId w:val="1"/>
      </w:numPr>
      <w:pBdr>
        <w:bottom w:val="double" w:sz="6" w:space="1" w:color="5C2A59"/>
      </w:pBdr>
      <w:tabs>
        <w:tab w:val="left" w:pos="851"/>
      </w:tabs>
      <w:spacing w:before="200" w:after="100" w:afterAutospacing="1"/>
      <w:ind w:left="1145" w:hanging="578"/>
      <w:outlineLvl w:val="1"/>
    </w:pPr>
    <w:rPr>
      <w:rFonts w:eastAsiaTheme="majorEastAsia" w:cstheme="majorBidi"/>
      <w:bCs/>
      <w:color w:val="5C2A59"/>
      <w:sz w:val="28"/>
      <w:szCs w:val="26"/>
      <w:lang w:val="en-US"/>
    </w:rPr>
  </w:style>
  <w:style w:type="paragraph" w:styleId="berschrift3">
    <w:name w:val="heading 3"/>
    <w:basedOn w:val="berschrift2"/>
    <w:next w:val="Standard"/>
    <w:link w:val="berschrift3Zchn"/>
    <w:uiPriority w:val="9"/>
    <w:unhideWhenUsed/>
    <w:qFormat/>
    <w:rsid w:val="00CA1321"/>
    <w:pPr>
      <w:numPr>
        <w:ilvl w:val="2"/>
      </w:numPr>
      <w:pBdr>
        <w:bottom w:val="none" w:sz="0" w:space="0" w:color="auto"/>
      </w:pBdr>
      <w:ind w:left="1287"/>
      <w:outlineLvl w:val="2"/>
    </w:pPr>
    <w:rPr>
      <w:bCs w:val="0"/>
      <w:sz w:val="24"/>
    </w:rPr>
  </w:style>
  <w:style w:type="paragraph" w:styleId="berschrift4">
    <w:name w:val="heading 4"/>
    <w:basedOn w:val="berschrift3"/>
    <w:next w:val="Standard"/>
    <w:link w:val="berschrift4Zchn"/>
    <w:uiPriority w:val="9"/>
    <w:unhideWhenUsed/>
    <w:qFormat/>
    <w:rsid w:val="00CA1321"/>
    <w:pPr>
      <w:numPr>
        <w:ilvl w:val="3"/>
      </w:numPr>
      <w:ind w:left="1429" w:hanging="862"/>
      <w:outlineLvl w:val="3"/>
    </w:pPr>
    <w:rPr>
      <w:bCs/>
      <w:iCs/>
      <w:sz w:val="20"/>
    </w:rPr>
  </w:style>
  <w:style w:type="paragraph" w:styleId="berschrift5">
    <w:name w:val="heading 5"/>
    <w:basedOn w:val="Standard"/>
    <w:next w:val="Standard"/>
    <w:link w:val="berschrift5Zchn"/>
    <w:uiPriority w:val="9"/>
    <w:unhideWhenUsed/>
    <w:rsid w:val="00CA1321"/>
    <w:pPr>
      <w:keepNext/>
      <w:keepLines/>
      <w:numPr>
        <w:ilvl w:val="4"/>
        <w:numId w:val="1"/>
      </w:numPr>
      <w:spacing w:before="200" w:after="0"/>
      <w:outlineLvl w:val="4"/>
    </w:pPr>
    <w:rPr>
      <w:rFonts w:asciiTheme="majorHAnsi" w:eastAsiaTheme="majorEastAsia" w:hAnsiTheme="majorHAnsi" w:cstheme="majorBidi"/>
      <w:color w:val="1F3763" w:themeColor="accent1" w:themeShade="7F"/>
    </w:rPr>
  </w:style>
  <w:style w:type="paragraph" w:styleId="berschrift6">
    <w:name w:val="heading 6"/>
    <w:basedOn w:val="Standard"/>
    <w:next w:val="Standard"/>
    <w:link w:val="berschrift6Zchn"/>
    <w:uiPriority w:val="39"/>
    <w:unhideWhenUsed/>
    <w:qFormat/>
    <w:rsid w:val="00CA1321"/>
    <w:pPr>
      <w:keepNext/>
      <w:keepLines/>
      <w:numPr>
        <w:ilvl w:val="5"/>
        <w:numId w:val="1"/>
      </w:numPr>
      <w:spacing w:before="200" w:after="0"/>
      <w:outlineLvl w:val="5"/>
    </w:pPr>
    <w:rPr>
      <w:rFonts w:asciiTheme="majorHAnsi" w:eastAsiaTheme="majorEastAsia" w:hAnsiTheme="majorHAnsi" w:cstheme="majorBidi"/>
      <w:i/>
      <w:iCs/>
      <w:color w:val="1F3763" w:themeColor="accent1" w:themeShade="7F"/>
    </w:rPr>
  </w:style>
  <w:style w:type="paragraph" w:styleId="berschrift7">
    <w:name w:val="heading 7"/>
    <w:basedOn w:val="Standard"/>
    <w:next w:val="Standard"/>
    <w:link w:val="berschrift7Zchn"/>
    <w:uiPriority w:val="39"/>
    <w:unhideWhenUsed/>
    <w:qFormat/>
    <w:rsid w:val="00CA1321"/>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39"/>
    <w:unhideWhenUsed/>
    <w:qFormat/>
    <w:rsid w:val="00CA1321"/>
    <w:pPr>
      <w:keepNext/>
      <w:keepLines/>
      <w:numPr>
        <w:ilvl w:val="7"/>
        <w:numId w:val="1"/>
      </w:numPr>
      <w:spacing w:before="200" w:after="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39"/>
    <w:unhideWhenUsed/>
    <w:qFormat/>
    <w:rsid w:val="00CA1321"/>
    <w:pPr>
      <w:keepNext/>
      <w:keepLines/>
      <w:numPr>
        <w:ilvl w:val="8"/>
        <w:numId w:val="1"/>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CA1321"/>
    <w:rPr>
      <w:rFonts w:ascii="Century Gothic" w:eastAsiaTheme="majorEastAsia" w:hAnsi="Century Gothic" w:cstheme="majorBidi"/>
      <w:bCs/>
      <w:color w:val="5C2A59"/>
      <w:sz w:val="40"/>
      <w:szCs w:val="28"/>
      <w:shd w:val="clear" w:color="auto" w:fill="FAF5E6"/>
      <w:lang w:val="en-US"/>
    </w:rPr>
  </w:style>
  <w:style w:type="character" w:customStyle="1" w:styleId="berschrift2Zchn">
    <w:name w:val="Überschrift 2 Zchn"/>
    <w:basedOn w:val="Absatz-Standardschriftart"/>
    <w:link w:val="berschrift2"/>
    <w:uiPriority w:val="9"/>
    <w:rsid w:val="00CA1321"/>
    <w:rPr>
      <w:rFonts w:eastAsiaTheme="majorEastAsia" w:cstheme="majorBidi"/>
      <w:bCs/>
      <w:color w:val="5C2A59"/>
      <w:sz w:val="28"/>
      <w:szCs w:val="26"/>
      <w:lang w:val="en-US"/>
    </w:rPr>
  </w:style>
  <w:style w:type="character" w:customStyle="1" w:styleId="berschrift3Zchn">
    <w:name w:val="Überschrift 3 Zchn"/>
    <w:basedOn w:val="Absatz-Standardschriftart"/>
    <w:link w:val="berschrift3"/>
    <w:uiPriority w:val="9"/>
    <w:rsid w:val="00CA1321"/>
    <w:rPr>
      <w:rFonts w:eastAsiaTheme="majorEastAsia" w:cstheme="majorBidi"/>
      <w:color w:val="5C2A59"/>
      <w:sz w:val="24"/>
      <w:szCs w:val="26"/>
      <w:lang w:val="en-US"/>
    </w:rPr>
  </w:style>
  <w:style w:type="character" w:customStyle="1" w:styleId="berschrift4Zchn">
    <w:name w:val="Überschrift 4 Zchn"/>
    <w:basedOn w:val="Absatz-Standardschriftart"/>
    <w:link w:val="berschrift4"/>
    <w:uiPriority w:val="9"/>
    <w:rsid w:val="00CA1321"/>
    <w:rPr>
      <w:rFonts w:eastAsiaTheme="majorEastAsia" w:cstheme="majorBidi"/>
      <w:bCs/>
      <w:iCs/>
      <w:color w:val="5C2A59"/>
      <w:sz w:val="20"/>
      <w:szCs w:val="26"/>
      <w:lang w:val="en-US"/>
    </w:rPr>
  </w:style>
  <w:style w:type="character" w:customStyle="1" w:styleId="berschrift5Zchn">
    <w:name w:val="Überschrift 5 Zchn"/>
    <w:basedOn w:val="Absatz-Standardschriftart"/>
    <w:link w:val="berschrift5"/>
    <w:uiPriority w:val="9"/>
    <w:rsid w:val="00CA1321"/>
    <w:rPr>
      <w:rFonts w:asciiTheme="majorHAnsi" w:eastAsiaTheme="majorEastAsia" w:hAnsiTheme="majorHAnsi" w:cstheme="majorBidi"/>
      <w:color w:val="1F3763" w:themeColor="accent1" w:themeShade="7F"/>
      <w:lang w:val="en-GB"/>
    </w:rPr>
  </w:style>
  <w:style w:type="character" w:customStyle="1" w:styleId="berschrift6Zchn">
    <w:name w:val="Überschrift 6 Zchn"/>
    <w:basedOn w:val="Absatz-Standardschriftart"/>
    <w:link w:val="berschrift6"/>
    <w:uiPriority w:val="39"/>
    <w:rsid w:val="00CA1321"/>
    <w:rPr>
      <w:rFonts w:asciiTheme="majorHAnsi" w:eastAsiaTheme="majorEastAsia" w:hAnsiTheme="majorHAnsi" w:cstheme="majorBidi"/>
      <w:i/>
      <w:iCs/>
      <w:color w:val="1F3763" w:themeColor="accent1" w:themeShade="7F"/>
      <w:lang w:val="en-GB"/>
    </w:rPr>
  </w:style>
  <w:style w:type="character" w:customStyle="1" w:styleId="berschrift7Zchn">
    <w:name w:val="Überschrift 7 Zchn"/>
    <w:basedOn w:val="Absatz-Standardschriftart"/>
    <w:link w:val="berschrift7"/>
    <w:uiPriority w:val="39"/>
    <w:rsid w:val="00CA1321"/>
    <w:rPr>
      <w:rFonts w:asciiTheme="majorHAnsi" w:eastAsiaTheme="majorEastAsia" w:hAnsiTheme="majorHAnsi" w:cstheme="majorBidi"/>
      <w:i/>
      <w:iCs/>
      <w:color w:val="404040" w:themeColor="text1" w:themeTint="BF"/>
      <w:lang w:val="en-GB"/>
    </w:rPr>
  </w:style>
  <w:style w:type="character" w:customStyle="1" w:styleId="berschrift8Zchn">
    <w:name w:val="Überschrift 8 Zchn"/>
    <w:basedOn w:val="Absatz-Standardschriftart"/>
    <w:link w:val="berschrift8"/>
    <w:uiPriority w:val="39"/>
    <w:rsid w:val="00CA1321"/>
    <w:rPr>
      <w:rFonts w:asciiTheme="majorHAnsi" w:eastAsiaTheme="majorEastAsia" w:hAnsiTheme="majorHAnsi" w:cstheme="majorBidi"/>
      <w:color w:val="404040" w:themeColor="text1" w:themeTint="BF"/>
      <w:szCs w:val="20"/>
      <w:lang w:val="en-GB"/>
    </w:rPr>
  </w:style>
  <w:style w:type="character" w:customStyle="1" w:styleId="berschrift9Zchn">
    <w:name w:val="Überschrift 9 Zchn"/>
    <w:basedOn w:val="Absatz-Standardschriftart"/>
    <w:link w:val="berschrift9"/>
    <w:uiPriority w:val="39"/>
    <w:rsid w:val="00CA1321"/>
    <w:rPr>
      <w:rFonts w:asciiTheme="majorHAnsi" w:eastAsiaTheme="majorEastAsia" w:hAnsiTheme="majorHAnsi" w:cstheme="majorBidi"/>
      <w:i/>
      <w:iCs/>
      <w:color w:val="404040" w:themeColor="text1" w:themeTint="BF"/>
      <w:szCs w:val="20"/>
      <w:lang w:val="en-GB"/>
    </w:rPr>
  </w:style>
  <w:style w:type="paragraph" w:styleId="KeinLeerraum">
    <w:name w:val="No Spacing"/>
    <w:uiPriority w:val="1"/>
    <w:qFormat/>
    <w:rsid w:val="00CA1321"/>
    <w:pPr>
      <w:spacing w:after="0" w:line="240" w:lineRule="auto"/>
    </w:pPr>
    <w:rPr>
      <w:rFonts w:ascii="Verdana" w:hAnsi="Verdana"/>
      <w:sz w:val="20"/>
      <w:lang w:val="fr-FR"/>
    </w:rPr>
  </w:style>
  <w:style w:type="paragraph" w:styleId="Titel">
    <w:name w:val="Title"/>
    <w:aliases w:val="Title 1"/>
    <w:basedOn w:val="berschrift1"/>
    <w:next w:val="Standard"/>
    <w:link w:val="TitelZchn"/>
    <w:uiPriority w:val="7"/>
    <w:qFormat/>
    <w:rsid w:val="00CA1321"/>
    <w:pPr>
      <w:numPr>
        <w:numId w:val="0"/>
      </w:numPr>
      <w:pBdr>
        <w:bottom w:val="single" w:sz="8" w:space="4" w:color="5C2A59"/>
      </w:pBdr>
      <w:spacing w:after="300" w:line="240" w:lineRule="auto"/>
      <w:contextualSpacing/>
    </w:pPr>
    <w:rPr>
      <w:color w:val="000000" w:themeColor="text1"/>
      <w:spacing w:val="5"/>
      <w:kern w:val="28"/>
      <w:sz w:val="44"/>
      <w:szCs w:val="52"/>
    </w:rPr>
  </w:style>
  <w:style w:type="character" w:customStyle="1" w:styleId="TitelZchn">
    <w:name w:val="Titel Zchn"/>
    <w:aliases w:val="Title 1 Zchn"/>
    <w:basedOn w:val="Absatz-Standardschriftart"/>
    <w:link w:val="Titel"/>
    <w:uiPriority w:val="7"/>
    <w:rsid w:val="00CA1321"/>
    <w:rPr>
      <w:rFonts w:ascii="Century Gothic" w:eastAsiaTheme="majorEastAsia" w:hAnsi="Century Gothic" w:cstheme="majorBidi"/>
      <w:bCs/>
      <w:color w:val="000000" w:themeColor="text1"/>
      <w:spacing w:val="5"/>
      <w:kern w:val="28"/>
      <w:sz w:val="44"/>
      <w:szCs w:val="52"/>
      <w:shd w:val="clear" w:color="auto" w:fill="FAF5E6"/>
      <w:lang w:val="en-US"/>
    </w:rPr>
  </w:style>
  <w:style w:type="paragraph" w:styleId="Kopfzeile">
    <w:name w:val="header"/>
    <w:basedOn w:val="Standard"/>
    <w:link w:val="KopfzeileZchn"/>
    <w:uiPriority w:val="99"/>
    <w:unhideWhenUsed/>
    <w:rsid w:val="00CA132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CA1321"/>
    <w:rPr>
      <w:lang w:val="en-GB"/>
    </w:rPr>
  </w:style>
  <w:style w:type="paragraph" w:styleId="Fuzeile">
    <w:name w:val="footer"/>
    <w:basedOn w:val="Standard"/>
    <w:link w:val="FuzeileZchn"/>
    <w:uiPriority w:val="99"/>
    <w:unhideWhenUsed/>
    <w:rsid w:val="00CA132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CA1321"/>
    <w:rPr>
      <w:lang w:val="en-GB"/>
    </w:rPr>
  </w:style>
  <w:style w:type="paragraph" w:styleId="Sprechblasentext">
    <w:name w:val="Balloon Text"/>
    <w:basedOn w:val="Standard"/>
    <w:link w:val="SprechblasentextZchn"/>
    <w:uiPriority w:val="99"/>
    <w:unhideWhenUsed/>
    <w:rsid w:val="00CA1321"/>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rsid w:val="00CA1321"/>
    <w:rPr>
      <w:rFonts w:ascii="Tahoma" w:hAnsi="Tahoma" w:cs="Tahoma"/>
      <w:sz w:val="16"/>
      <w:szCs w:val="16"/>
      <w:lang w:val="en-GB"/>
    </w:rPr>
  </w:style>
  <w:style w:type="character" w:styleId="Platzhaltertext">
    <w:name w:val="Placeholder Text"/>
    <w:basedOn w:val="Absatz-Standardschriftart"/>
    <w:uiPriority w:val="99"/>
    <w:semiHidden/>
    <w:rsid w:val="00CA1321"/>
    <w:rPr>
      <w:color w:val="808080"/>
    </w:rPr>
  </w:style>
  <w:style w:type="paragraph" w:styleId="Untertitel">
    <w:name w:val="Subtitle"/>
    <w:basedOn w:val="Standard"/>
    <w:next w:val="Standard"/>
    <w:link w:val="UntertitelZchn"/>
    <w:uiPriority w:val="8"/>
    <w:qFormat/>
    <w:rsid w:val="00CA1321"/>
    <w:pPr>
      <w:numPr>
        <w:ilvl w:val="1"/>
      </w:numPr>
    </w:pPr>
    <w:rPr>
      <w:rFonts w:eastAsiaTheme="majorEastAsia" w:cstheme="majorBidi"/>
      <w:i/>
      <w:iCs/>
      <w:color w:val="000000" w:themeColor="text1"/>
      <w:spacing w:val="15"/>
      <w:sz w:val="24"/>
      <w:szCs w:val="24"/>
    </w:rPr>
  </w:style>
  <w:style w:type="character" w:customStyle="1" w:styleId="UntertitelZchn">
    <w:name w:val="Untertitel Zchn"/>
    <w:basedOn w:val="Absatz-Standardschriftart"/>
    <w:link w:val="Untertitel"/>
    <w:uiPriority w:val="8"/>
    <w:rsid w:val="00CA1321"/>
    <w:rPr>
      <w:rFonts w:eastAsiaTheme="majorEastAsia" w:cstheme="majorBidi"/>
      <w:i/>
      <w:iCs/>
      <w:color w:val="000000" w:themeColor="text1"/>
      <w:spacing w:val="15"/>
      <w:sz w:val="24"/>
      <w:szCs w:val="24"/>
      <w:lang w:val="en-GB"/>
    </w:rPr>
  </w:style>
  <w:style w:type="character" w:styleId="SchwacheHervorhebung">
    <w:name w:val="Subtle Emphasis"/>
    <w:basedOn w:val="Absatz-Standardschriftart"/>
    <w:uiPriority w:val="19"/>
    <w:qFormat/>
    <w:rsid w:val="00CA1321"/>
    <w:rPr>
      <w:i/>
      <w:iCs/>
      <w:color w:val="000000" w:themeColor="text1"/>
    </w:rPr>
  </w:style>
  <w:style w:type="character" w:styleId="Hervorhebung">
    <w:name w:val="Emphasis"/>
    <w:basedOn w:val="Absatz-Standardschriftart"/>
    <w:uiPriority w:val="20"/>
    <w:qFormat/>
    <w:rsid w:val="00CA1321"/>
    <w:rPr>
      <w:i/>
      <w:iCs/>
      <w:color w:val="000000" w:themeColor="text1"/>
    </w:rPr>
  </w:style>
  <w:style w:type="character" w:styleId="IntensiveHervorhebung">
    <w:name w:val="Intense Emphasis"/>
    <w:basedOn w:val="Absatz-Standardschriftart"/>
    <w:uiPriority w:val="21"/>
    <w:qFormat/>
    <w:rsid w:val="00CA1321"/>
    <w:rPr>
      <w:b/>
      <w:bCs/>
      <w:i/>
      <w:iCs/>
      <w:color w:val="000000" w:themeColor="text1"/>
    </w:rPr>
  </w:style>
  <w:style w:type="paragraph" w:styleId="Zitat">
    <w:name w:val="Quote"/>
    <w:basedOn w:val="Standard"/>
    <w:next w:val="Standard"/>
    <w:link w:val="ZitatZchn"/>
    <w:uiPriority w:val="29"/>
    <w:qFormat/>
    <w:rsid w:val="00CA1321"/>
    <w:rPr>
      <w:i/>
      <w:iCs/>
      <w:color w:val="000000" w:themeColor="text1"/>
    </w:rPr>
  </w:style>
  <w:style w:type="character" w:customStyle="1" w:styleId="ZitatZchn">
    <w:name w:val="Zitat Zchn"/>
    <w:basedOn w:val="Absatz-Standardschriftart"/>
    <w:link w:val="Zitat"/>
    <w:uiPriority w:val="29"/>
    <w:rsid w:val="00CA1321"/>
    <w:rPr>
      <w:i/>
      <w:iCs/>
      <w:color w:val="000000" w:themeColor="text1"/>
      <w:lang w:val="en-GB"/>
    </w:rPr>
  </w:style>
  <w:style w:type="paragraph" w:styleId="IntensivesZitat">
    <w:name w:val="Intense Quote"/>
    <w:basedOn w:val="Standard"/>
    <w:next w:val="Standard"/>
    <w:link w:val="IntensivesZitatZchn"/>
    <w:uiPriority w:val="30"/>
    <w:qFormat/>
    <w:rsid w:val="00CA1321"/>
    <w:pPr>
      <w:pBdr>
        <w:bottom w:val="single" w:sz="4" w:space="4" w:color="000000" w:themeColor="text1"/>
      </w:pBdr>
      <w:spacing w:before="200" w:after="280"/>
      <w:ind w:left="936" w:right="936"/>
    </w:pPr>
    <w:rPr>
      <w:b/>
      <w:bCs/>
      <w:i/>
      <w:iCs/>
    </w:rPr>
  </w:style>
  <w:style w:type="character" w:customStyle="1" w:styleId="IntensivesZitatZchn">
    <w:name w:val="Intensives Zitat Zchn"/>
    <w:basedOn w:val="Absatz-Standardschriftart"/>
    <w:link w:val="IntensivesZitat"/>
    <w:uiPriority w:val="30"/>
    <w:rsid w:val="00CA1321"/>
    <w:rPr>
      <w:b/>
      <w:bCs/>
      <w:i/>
      <w:iCs/>
      <w:lang w:val="en-GB"/>
    </w:rPr>
  </w:style>
  <w:style w:type="character" w:styleId="SchwacherVerweis">
    <w:name w:val="Subtle Reference"/>
    <w:basedOn w:val="Absatz-Standardschriftart"/>
    <w:uiPriority w:val="31"/>
    <w:qFormat/>
    <w:rsid w:val="00CA1321"/>
    <w:rPr>
      <w:smallCaps/>
      <w:color w:val="000000" w:themeColor="text1"/>
      <w:u w:val="single"/>
      <w:bdr w:val="none" w:sz="0" w:space="0" w:color="auto"/>
    </w:rPr>
  </w:style>
  <w:style w:type="character" w:styleId="IntensiverVerweis">
    <w:name w:val="Intense Reference"/>
    <w:basedOn w:val="Absatz-Standardschriftart"/>
    <w:uiPriority w:val="32"/>
    <w:qFormat/>
    <w:rsid w:val="00CA1321"/>
    <w:rPr>
      <w:b/>
      <w:bCs/>
      <w:smallCaps/>
      <w:color w:val="000000" w:themeColor="text1"/>
      <w:spacing w:val="5"/>
      <w:u w:val="single" w:color="817B61"/>
      <w:bdr w:val="none" w:sz="0" w:space="0" w:color="auto"/>
    </w:rPr>
  </w:style>
  <w:style w:type="character" w:styleId="Fett">
    <w:name w:val="Strong"/>
    <w:basedOn w:val="Absatz-Standardschriftart"/>
    <w:uiPriority w:val="22"/>
    <w:qFormat/>
    <w:rsid w:val="00CA1321"/>
    <w:rPr>
      <w:b/>
      <w:bCs/>
      <w:color w:val="000000" w:themeColor="text1"/>
    </w:rPr>
  </w:style>
  <w:style w:type="character" w:styleId="Buchtitel">
    <w:name w:val="Book Title"/>
    <w:basedOn w:val="Absatz-Standardschriftart"/>
    <w:uiPriority w:val="33"/>
    <w:qFormat/>
    <w:rsid w:val="00CA1321"/>
    <w:rPr>
      <w:b/>
      <w:bCs/>
      <w:smallCaps/>
      <w:color w:val="000000" w:themeColor="text1"/>
      <w:spacing w:val="5"/>
    </w:rPr>
  </w:style>
  <w:style w:type="paragraph" w:styleId="Listenabsatz">
    <w:name w:val="List Paragraph"/>
    <w:basedOn w:val="Standard"/>
    <w:link w:val="ListenabsatzZchn"/>
    <w:uiPriority w:val="29"/>
    <w:qFormat/>
    <w:rsid w:val="00CA1321"/>
    <w:pPr>
      <w:ind w:left="720"/>
      <w:contextualSpacing/>
    </w:pPr>
  </w:style>
  <w:style w:type="character" w:customStyle="1" w:styleId="ListenabsatzZchn">
    <w:name w:val="Listenabsatz Zchn"/>
    <w:basedOn w:val="Absatz-Standardschriftart"/>
    <w:link w:val="Listenabsatz"/>
    <w:uiPriority w:val="29"/>
    <w:rsid w:val="00CA1321"/>
    <w:rPr>
      <w:lang w:val="en-GB"/>
    </w:rPr>
  </w:style>
  <w:style w:type="table" w:styleId="Tabellenraster">
    <w:name w:val="Table Grid"/>
    <w:basedOn w:val="NormaleTabelle"/>
    <w:uiPriority w:val="99"/>
    <w:rsid w:val="00CA132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mbrageclair1">
    <w:name w:val="Ombrage clair1"/>
    <w:basedOn w:val="NormaleTabelle"/>
    <w:uiPriority w:val="99"/>
    <w:rsid w:val="00CA1321"/>
    <w:pPr>
      <w:spacing w:after="0" w:line="240" w:lineRule="auto"/>
    </w:pPr>
    <w:rPr>
      <w:color w:val="000000" w:themeColor="text1" w:themeShade="BF"/>
      <w:lang w:val="fr-F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ramemoyenne1-Accent11">
    <w:name w:val="Trame moyenne 1 - Accent 11"/>
    <w:basedOn w:val="NormaleTabelle"/>
    <w:uiPriority w:val="99"/>
    <w:rsid w:val="00CA1321"/>
    <w:pPr>
      <w:spacing w:after="0" w:line="240" w:lineRule="auto"/>
    </w:pPr>
    <w:rPr>
      <w:lang w:val="fr-FR"/>
    </w:r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HelleListe-Akzent6">
    <w:name w:val="Light List Accent 6"/>
    <w:basedOn w:val="NormaleTabelle"/>
    <w:uiPriority w:val="61"/>
    <w:rsid w:val="00CA1321"/>
    <w:pPr>
      <w:spacing w:after="0" w:line="240" w:lineRule="auto"/>
    </w:pPr>
    <w:rPr>
      <w:lang w:val="fr-FR"/>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customStyle="1" w:styleId="Listeclaire-Accent11">
    <w:name w:val="Liste claire - Accent 11"/>
    <w:basedOn w:val="NormaleTabelle"/>
    <w:uiPriority w:val="99"/>
    <w:rsid w:val="00CA1321"/>
    <w:pPr>
      <w:spacing w:after="0" w:line="240" w:lineRule="auto"/>
    </w:pPr>
    <w:rPr>
      <w:lang w:val="fr-FR"/>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6" w:space="0" w:color="4472C4" w:themeColor="accent1"/>
        <w:insideV w:val="single" w:sz="6"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styleId="Inhaltsverzeichnisberschrift">
    <w:name w:val="TOC Heading"/>
    <w:basedOn w:val="berschrift1"/>
    <w:next w:val="Standard"/>
    <w:uiPriority w:val="39"/>
    <w:unhideWhenUsed/>
    <w:qFormat/>
    <w:rsid w:val="00CA1321"/>
    <w:pPr>
      <w:numPr>
        <w:numId w:val="0"/>
      </w:numPr>
      <w:pBdr>
        <w:bottom w:val="none" w:sz="0" w:space="0" w:color="auto"/>
      </w:pBdr>
      <w:shd w:val="clear" w:color="auto" w:fill="auto"/>
      <w:jc w:val="left"/>
      <w:outlineLvl w:val="9"/>
    </w:pPr>
    <w:rPr>
      <w:rFonts w:asciiTheme="majorHAnsi" w:hAnsiTheme="majorHAnsi"/>
      <w:b/>
      <w:color w:val="2F5496" w:themeColor="accent1" w:themeShade="BF"/>
      <w:sz w:val="28"/>
    </w:rPr>
  </w:style>
  <w:style w:type="paragraph" w:styleId="Verzeichnis1">
    <w:name w:val="toc 1"/>
    <w:basedOn w:val="Standard"/>
    <w:next w:val="Standard"/>
    <w:autoRedefine/>
    <w:uiPriority w:val="39"/>
    <w:unhideWhenUsed/>
    <w:rsid w:val="00CA1321"/>
    <w:pPr>
      <w:tabs>
        <w:tab w:val="left" w:pos="400"/>
        <w:tab w:val="right" w:leader="dot" w:pos="9062"/>
      </w:tabs>
      <w:spacing w:after="100"/>
    </w:pPr>
    <w:rPr>
      <w:rFonts w:cstheme="minorHAnsi"/>
    </w:rPr>
  </w:style>
  <w:style w:type="paragraph" w:styleId="Verzeichnis2">
    <w:name w:val="toc 2"/>
    <w:basedOn w:val="Standard"/>
    <w:next w:val="Standard"/>
    <w:autoRedefine/>
    <w:uiPriority w:val="39"/>
    <w:unhideWhenUsed/>
    <w:rsid w:val="00CA1321"/>
    <w:pPr>
      <w:tabs>
        <w:tab w:val="left" w:pos="880"/>
        <w:tab w:val="right" w:leader="dot" w:pos="9060"/>
      </w:tabs>
      <w:spacing w:after="100"/>
      <w:ind w:left="851" w:hanging="508"/>
    </w:pPr>
  </w:style>
  <w:style w:type="paragraph" w:styleId="Verzeichnis3">
    <w:name w:val="toc 3"/>
    <w:basedOn w:val="Standard"/>
    <w:next w:val="Standard"/>
    <w:autoRedefine/>
    <w:uiPriority w:val="39"/>
    <w:unhideWhenUsed/>
    <w:rsid w:val="00CA1321"/>
    <w:pPr>
      <w:spacing w:after="100"/>
      <w:ind w:left="400"/>
    </w:pPr>
  </w:style>
  <w:style w:type="character" w:styleId="Hyperlink">
    <w:name w:val="Hyperlink"/>
    <w:basedOn w:val="Absatz-Standardschriftart"/>
    <w:uiPriority w:val="99"/>
    <w:unhideWhenUsed/>
    <w:rsid w:val="00CA1321"/>
    <w:rPr>
      <w:color w:val="0563C1" w:themeColor="hyperlink"/>
      <w:u w:val="single"/>
    </w:rPr>
  </w:style>
  <w:style w:type="paragraph" w:customStyle="1" w:styleId="indent1">
    <w:name w:val="indent 1"/>
    <w:aliases w:val="i1"/>
    <w:basedOn w:val="Standard"/>
    <w:uiPriority w:val="99"/>
    <w:rsid w:val="00CA1321"/>
    <w:pPr>
      <w:keepLines/>
      <w:tabs>
        <w:tab w:val="num" w:pos="360"/>
      </w:tabs>
      <w:spacing w:line="240" w:lineRule="auto"/>
      <w:ind w:left="360" w:hanging="360"/>
    </w:pPr>
    <w:rPr>
      <w:rFonts w:ascii="Arial" w:eastAsia="Times New Roman" w:hAnsi="Arial" w:cs="Times New Roman"/>
      <w:szCs w:val="20"/>
      <w:lang w:eastAsia="fr-FR"/>
    </w:rPr>
  </w:style>
  <w:style w:type="paragraph" w:styleId="Beschriftung">
    <w:name w:val="caption"/>
    <w:basedOn w:val="Standard"/>
    <w:next w:val="Standard"/>
    <w:uiPriority w:val="29"/>
    <w:unhideWhenUsed/>
    <w:qFormat/>
    <w:rsid w:val="00CA1321"/>
    <w:pPr>
      <w:spacing w:before="0" w:after="200" w:line="240" w:lineRule="auto"/>
    </w:pPr>
    <w:rPr>
      <w:b/>
      <w:bCs/>
      <w:color w:val="000000" w:themeColor="text1"/>
      <w:sz w:val="18"/>
      <w:szCs w:val="18"/>
    </w:rPr>
  </w:style>
  <w:style w:type="paragraph" w:customStyle="1" w:styleId="Table-title">
    <w:name w:val="Table-title"/>
    <w:basedOn w:val="Standard"/>
    <w:uiPriority w:val="99"/>
    <w:rsid w:val="00CA1321"/>
    <w:pPr>
      <w:spacing w:line="240" w:lineRule="auto"/>
      <w:jc w:val="left"/>
    </w:pPr>
    <w:rPr>
      <w:rFonts w:ascii="Calibri" w:eastAsia="Times New Roman" w:hAnsi="Calibri" w:cs="Times New Roman"/>
      <w:b/>
      <w:szCs w:val="20"/>
      <w:lang w:eastAsia="fr-FR"/>
    </w:rPr>
  </w:style>
  <w:style w:type="paragraph" w:styleId="Abbildungsverzeichnis">
    <w:name w:val="table of figures"/>
    <w:basedOn w:val="Standard"/>
    <w:next w:val="Standard"/>
    <w:uiPriority w:val="99"/>
    <w:unhideWhenUsed/>
    <w:rsid w:val="00CA1321"/>
    <w:pPr>
      <w:spacing w:before="0" w:after="0"/>
      <w:jc w:val="left"/>
    </w:pPr>
    <w:rPr>
      <w:rFonts w:cs="Times New Roman"/>
      <w:i/>
      <w:iCs/>
      <w:sz w:val="20"/>
      <w:szCs w:val="24"/>
    </w:rPr>
  </w:style>
  <w:style w:type="paragraph" w:styleId="StandardWeb">
    <w:name w:val="Normal (Web)"/>
    <w:basedOn w:val="Standard"/>
    <w:uiPriority w:val="99"/>
    <w:unhideWhenUsed/>
    <w:rsid w:val="00CA1321"/>
    <w:pPr>
      <w:spacing w:before="100" w:beforeAutospacing="1" w:after="100" w:afterAutospacing="1" w:line="240" w:lineRule="auto"/>
      <w:jc w:val="left"/>
    </w:pPr>
    <w:rPr>
      <w:rFonts w:ascii="Times New Roman" w:eastAsia="Times New Roman" w:hAnsi="Times New Roman" w:cs="Times New Roman"/>
      <w:sz w:val="24"/>
      <w:szCs w:val="24"/>
      <w:lang w:eastAsia="en-GB" w:bidi="he-IL"/>
    </w:rPr>
  </w:style>
  <w:style w:type="character" w:styleId="HTMLZitat">
    <w:name w:val="HTML Cite"/>
    <w:basedOn w:val="Absatz-Standardschriftart"/>
    <w:uiPriority w:val="99"/>
    <w:unhideWhenUsed/>
    <w:rsid w:val="00CA1321"/>
    <w:rPr>
      <w:i/>
      <w:iCs/>
    </w:rPr>
  </w:style>
  <w:style w:type="character" w:styleId="Kommentarzeichen">
    <w:name w:val="annotation reference"/>
    <w:basedOn w:val="Absatz-Standardschriftart"/>
    <w:uiPriority w:val="99"/>
    <w:semiHidden/>
    <w:unhideWhenUsed/>
    <w:rsid w:val="00CA1321"/>
    <w:rPr>
      <w:sz w:val="16"/>
      <w:szCs w:val="16"/>
    </w:rPr>
  </w:style>
  <w:style w:type="paragraph" w:styleId="Kommentartext">
    <w:name w:val="annotation text"/>
    <w:basedOn w:val="Standard"/>
    <w:link w:val="KommentartextZchn"/>
    <w:uiPriority w:val="99"/>
    <w:semiHidden/>
    <w:unhideWhenUsed/>
    <w:rsid w:val="00CA1321"/>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CA1321"/>
    <w:rPr>
      <w:sz w:val="20"/>
      <w:szCs w:val="20"/>
      <w:lang w:val="en-GB"/>
    </w:rPr>
  </w:style>
  <w:style w:type="paragraph" w:styleId="Kommentarthema">
    <w:name w:val="annotation subject"/>
    <w:basedOn w:val="Kommentartext"/>
    <w:next w:val="Kommentartext"/>
    <w:link w:val="KommentarthemaZchn"/>
    <w:uiPriority w:val="99"/>
    <w:semiHidden/>
    <w:unhideWhenUsed/>
    <w:rsid w:val="00CA1321"/>
    <w:rPr>
      <w:b/>
      <w:bCs/>
    </w:rPr>
  </w:style>
  <w:style w:type="character" w:customStyle="1" w:styleId="KommentarthemaZchn">
    <w:name w:val="Kommentarthema Zchn"/>
    <w:basedOn w:val="KommentartextZchn"/>
    <w:link w:val="Kommentarthema"/>
    <w:uiPriority w:val="99"/>
    <w:semiHidden/>
    <w:rsid w:val="00CA1321"/>
    <w:rPr>
      <w:b/>
      <w:bCs/>
      <w:sz w:val="20"/>
      <w:szCs w:val="20"/>
      <w:lang w:val="en-GB"/>
    </w:rPr>
  </w:style>
  <w:style w:type="paragraph" w:styleId="Funotentext">
    <w:name w:val="footnote text"/>
    <w:aliases w:val="Footnote Text Char Char Char,Footnote Text Char Char,Fußnote,single space,footnote text,fn,FOOTNOTES,Footnote Text Char1,Footnote Text Char2 Char,Footnote Text Char1 Char Char,Footnote Text Char2 Char Char Char,ft,Footnote Text Char2,f,o"/>
    <w:basedOn w:val="Standard"/>
    <w:link w:val="FunotentextZchn"/>
    <w:uiPriority w:val="99"/>
    <w:unhideWhenUsed/>
    <w:rsid w:val="00CA1321"/>
    <w:pPr>
      <w:spacing w:before="0" w:after="0" w:line="240" w:lineRule="auto"/>
    </w:pPr>
    <w:rPr>
      <w:sz w:val="20"/>
      <w:szCs w:val="20"/>
    </w:rPr>
  </w:style>
  <w:style w:type="character" w:customStyle="1" w:styleId="FunotentextZchn">
    <w:name w:val="Fußnotentext Zchn"/>
    <w:aliases w:val="Footnote Text Char Char Char Zchn,Footnote Text Char Char Zchn,Fußnote Zchn,single space Zchn,footnote text Zchn,fn Zchn,FOOTNOTES Zchn,Footnote Text Char1 Zchn,Footnote Text Char2 Char Zchn,Footnote Text Char1 Char Char Zchn,ft Zchn"/>
    <w:basedOn w:val="Absatz-Standardschriftart"/>
    <w:link w:val="Funotentext"/>
    <w:uiPriority w:val="99"/>
    <w:rsid w:val="00CA1321"/>
    <w:rPr>
      <w:sz w:val="20"/>
      <w:szCs w:val="20"/>
      <w:lang w:val="en-GB"/>
    </w:rPr>
  </w:style>
  <w:style w:type="character" w:styleId="Funotenzeichen">
    <w:name w:val="footnote reference"/>
    <w:aliases w:val="BVI fnr,ftref,16 Point,Superscript 6 Point,footnote ref,Footnote symbol,Footnote sign,FR,Endnote Text Char,Char Char Char Char Char Char Char Char,Char Char Char Char Char Char Char Char Char Char Char Char Char,BVI fnr Car Car"/>
    <w:basedOn w:val="Absatz-Standardschriftart"/>
    <w:uiPriority w:val="99"/>
    <w:unhideWhenUsed/>
    <w:rsid w:val="00CA1321"/>
    <w:rPr>
      <w:vertAlign w:val="superscript"/>
    </w:rPr>
  </w:style>
  <w:style w:type="character" w:styleId="BesuchterLink">
    <w:name w:val="FollowedHyperlink"/>
    <w:basedOn w:val="Absatz-Standardschriftart"/>
    <w:uiPriority w:val="99"/>
    <w:unhideWhenUsed/>
    <w:rsid w:val="00CA1321"/>
    <w:rPr>
      <w:color w:val="954F72" w:themeColor="followedHyperlink"/>
      <w:u w:val="single"/>
    </w:rPr>
  </w:style>
  <w:style w:type="table" w:customStyle="1" w:styleId="Tabellenraster1">
    <w:name w:val="Tabellenraster1"/>
    <w:basedOn w:val="NormaleTabelle"/>
    <w:next w:val="Tabellenraster"/>
    <w:uiPriority w:val="99"/>
    <w:rsid w:val="00CA132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Raster8">
    <w:name w:val="Table Grid 8"/>
    <w:basedOn w:val="NormaleTabelle"/>
    <w:rsid w:val="00CA1321"/>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1">
    <w:name w:val="Tabelle Raster 81"/>
    <w:basedOn w:val="NormaleTabelle"/>
    <w:next w:val="TabelleRaster8"/>
    <w:rsid w:val="00CA1321"/>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Raster82">
    <w:name w:val="Tabelle Raster 82"/>
    <w:basedOn w:val="NormaleTabelle"/>
    <w:next w:val="TabelleRaster8"/>
    <w:rsid w:val="00CA1321"/>
    <w:pPr>
      <w:spacing w:after="120" w:line="240" w:lineRule="auto"/>
      <w:jc w:val="both"/>
    </w:pPr>
    <w:rPr>
      <w:rFonts w:ascii="Times New Roman" w:eastAsia="Times New Roman" w:hAnsi="Times New Roman" w:cs="Times New Roman"/>
      <w:sz w:val="20"/>
      <w:szCs w:val="20"/>
      <w:lang w:eastAsia="de-DE"/>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lenraster2">
    <w:name w:val="Tabellenraster2"/>
    <w:basedOn w:val="NormaleTabelle"/>
    <w:next w:val="Tabellenraster"/>
    <w:rsid w:val="00CA1321"/>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rarbeitung">
    <w:name w:val="Revision"/>
    <w:hidden/>
    <w:uiPriority w:val="99"/>
    <w:semiHidden/>
    <w:rsid w:val="00CA1321"/>
    <w:pPr>
      <w:spacing w:after="0" w:line="240" w:lineRule="auto"/>
    </w:pPr>
    <w:rPr>
      <w:lang w:val="en-GB"/>
    </w:rPr>
  </w:style>
  <w:style w:type="paragraph" w:styleId="NurText">
    <w:name w:val="Plain Text"/>
    <w:basedOn w:val="Standard"/>
    <w:link w:val="NurTextZchn"/>
    <w:uiPriority w:val="99"/>
    <w:semiHidden/>
    <w:unhideWhenUsed/>
    <w:rsid w:val="00CA1321"/>
    <w:pPr>
      <w:spacing w:before="0" w:after="0" w:line="240" w:lineRule="auto"/>
      <w:jc w:val="left"/>
    </w:pPr>
    <w:rPr>
      <w:rFonts w:ascii="Frutiger LT Com 45 Light" w:hAnsi="Frutiger LT Com 45 Light"/>
      <w:sz w:val="20"/>
      <w:szCs w:val="21"/>
    </w:rPr>
  </w:style>
  <w:style w:type="character" w:customStyle="1" w:styleId="NurTextZchn">
    <w:name w:val="Nur Text Zchn"/>
    <w:basedOn w:val="Absatz-Standardschriftart"/>
    <w:link w:val="NurText"/>
    <w:uiPriority w:val="99"/>
    <w:semiHidden/>
    <w:rsid w:val="00CA1321"/>
    <w:rPr>
      <w:rFonts w:ascii="Frutiger LT Com 45 Light" w:hAnsi="Frutiger LT Com 45 Light"/>
      <w:sz w:val="20"/>
      <w:szCs w:val="21"/>
      <w:lang w:val="en-GB"/>
    </w:rPr>
  </w:style>
  <w:style w:type="paragraph" w:styleId="Literaturverzeichnis">
    <w:name w:val="Bibliography"/>
    <w:aliases w:val="FuSec"/>
    <w:basedOn w:val="Standard"/>
    <w:next w:val="Standard"/>
    <w:uiPriority w:val="99"/>
    <w:rsid w:val="00CA1321"/>
    <w:pPr>
      <w:tabs>
        <w:tab w:val="left" w:pos="567"/>
      </w:tabs>
      <w:spacing w:before="120" w:after="120" w:line="240" w:lineRule="auto"/>
    </w:pPr>
    <w:rPr>
      <w:rFonts w:ascii="Arial" w:eastAsia="Times New Roman" w:hAnsi="Arial" w:cs="Arial"/>
      <w:color w:val="000000"/>
      <w:lang w:val="en-US" w:eastAsia="es-ES"/>
    </w:rPr>
  </w:style>
  <w:style w:type="paragraph" w:customStyle="1" w:styleId="longerquotation">
    <w:name w:val="longer quotation"/>
    <w:basedOn w:val="Zitat"/>
    <w:link w:val="longerquotationZchn"/>
    <w:uiPriority w:val="29"/>
    <w:qFormat/>
    <w:rsid w:val="00CA1321"/>
    <w:pPr>
      <w:tabs>
        <w:tab w:val="left" w:pos="4536"/>
      </w:tabs>
      <w:spacing w:before="180" w:after="180"/>
      <w:ind w:left="284" w:right="284"/>
    </w:pPr>
    <w:rPr>
      <w:color w:val="5C2A59"/>
      <w:lang w:val="en-US" w:eastAsia="zh-CN"/>
    </w:rPr>
  </w:style>
  <w:style w:type="character" w:customStyle="1" w:styleId="longerquotationZchn">
    <w:name w:val="longer quotation Zchn"/>
    <w:basedOn w:val="Absatz-Standardschriftart"/>
    <w:link w:val="longerquotation"/>
    <w:uiPriority w:val="29"/>
    <w:rsid w:val="00CA1321"/>
    <w:rPr>
      <w:i/>
      <w:iCs/>
      <w:color w:val="5C2A59"/>
      <w:lang w:val="en-US" w:eastAsia="zh-CN"/>
    </w:rPr>
  </w:style>
  <w:style w:type="paragraph" w:styleId="Index1">
    <w:name w:val="index 1"/>
    <w:basedOn w:val="Standard"/>
    <w:next w:val="Standard"/>
    <w:autoRedefine/>
    <w:uiPriority w:val="99"/>
    <w:semiHidden/>
    <w:unhideWhenUsed/>
    <w:rsid w:val="00CA1321"/>
    <w:pPr>
      <w:spacing w:before="0" w:after="0" w:line="240" w:lineRule="auto"/>
      <w:ind w:left="220" w:hanging="220"/>
    </w:pPr>
    <w:rPr>
      <w:lang w:val="en-US" w:eastAsia="zh-CN"/>
    </w:rPr>
  </w:style>
  <w:style w:type="character" w:customStyle="1" w:styleId="apple-converted-space">
    <w:name w:val="apple-converted-space"/>
    <w:basedOn w:val="Absatz-Standardschriftart"/>
    <w:rsid w:val="00CA1321"/>
  </w:style>
  <w:style w:type="paragraph" w:customStyle="1" w:styleId="KopfzeileDriverv3">
    <w:name w:val="Kopfzeile Driver v3"/>
    <w:basedOn w:val="Kopfzeile"/>
    <w:link w:val="KopfzeileDriverv3Zchn"/>
    <w:qFormat/>
    <w:rsid w:val="00CA1321"/>
    <w:pPr>
      <w:tabs>
        <w:tab w:val="clear" w:pos="4536"/>
        <w:tab w:val="clear" w:pos="9072"/>
        <w:tab w:val="center" w:pos="4703"/>
        <w:tab w:val="right" w:pos="9406"/>
      </w:tabs>
      <w:spacing w:after="60" w:line="276" w:lineRule="auto"/>
    </w:pPr>
    <w:rPr>
      <w:rFonts w:ascii="Verdana" w:eastAsia="SimSun" w:hAnsi="Verdana"/>
      <w:smallCaps/>
      <w:sz w:val="20"/>
      <w:szCs w:val="20"/>
      <w:lang w:val="de-DE"/>
    </w:rPr>
  </w:style>
  <w:style w:type="character" w:customStyle="1" w:styleId="KopfzeileDriverv3Zchn">
    <w:name w:val="Kopfzeile Driver v3 Zchn"/>
    <w:link w:val="KopfzeileDriverv3"/>
    <w:rsid w:val="00CA1321"/>
    <w:rPr>
      <w:rFonts w:ascii="Verdana" w:eastAsia="SimSun" w:hAnsi="Verdana"/>
      <w:smallCaps/>
      <w:sz w:val="20"/>
      <w:szCs w:val="20"/>
    </w:rPr>
  </w:style>
  <w:style w:type="paragraph" w:styleId="Dokumentstruktur">
    <w:name w:val="Document Map"/>
    <w:basedOn w:val="Standard"/>
    <w:link w:val="DokumentstrukturZchn"/>
    <w:uiPriority w:val="99"/>
    <w:semiHidden/>
    <w:unhideWhenUsed/>
    <w:rsid w:val="00CA1321"/>
    <w:pPr>
      <w:spacing w:before="0" w:after="0" w:line="240" w:lineRule="auto"/>
    </w:pPr>
    <w:rPr>
      <w:rFonts w:ascii="Lucida Grande" w:hAnsi="Lucida Grande" w:cs="Lucida Grande"/>
      <w:sz w:val="24"/>
      <w:szCs w:val="24"/>
      <w:lang w:val="en-US" w:eastAsia="zh-CN"/>
    </w:rPr>
  </w:style>
  <w:style w:type="character" w:customStyle="1" w:styleId="DokumentstrukturZchn">
    <w:name w:val="Dokumentstruktur Zchn"/>
    <w:basedOn w:val="Absatz-Standardschriftart"/>
    <w:link w:val="Dokumentstruktur"/>
    <w:uiPriority w:val="99"/>
    <w:semiHidden/>
    <w:rsid w:val="00CA1321"/>
    <w:rPr>
      <w:rFonts w:ascii="Lucida Grande" w:hAnsi="Lucida Grande" w:cs="Lucida Grande"/>
      <w:sz w:val="24"/>
      <w:szCs w:val="24"/>
      <w:lang w:val="en-US" w:eastAsia="zh-CN"/>
    </w:rPr>
  </w:style>
  <w:style w:type="paragraph" w:styleId="Verzeichnis4">
    <w:name w:val="toc 4"/>
    <w:basedOn w:val="Standard"/>
    <w:next w:val="Standard"/>
    <w:autoRedefine/>
    <w:uiPriority w:val="39"/>
    <w:unhideWhenUsed/>
    <w:rsid w:val="00CA1321"/>
    <w:pPr>
      <w:spacing w:after="100"/>
      <w:ind w:left="660"/>
    </w:pPr>
    <w:rPr>
      <w:lang w:val="en-US" w:eastAsia="zh-CN"/>
    </w:rPr>
  </w:style>
  <w:style w:type="paragraph" w:customStyle="1" w:styleId="p17">
    <w:name w:val="p17"/>
    <w:basedOn w:val="Standard"/>
    <w:rsid w:val="00CA1321"/>
    <w:pPr>
      <w:spacing w:before="100" w:beforeAutospacing="1" w:after="100" w:afterAutospacing="1" w:line="240" w:lineRule="auto"/>
      <w:jc w:val="left"/>
    </w:pPr>
    <w:rPr>
      <w:rFonts w:ascii="Times" w:hAnsi="Times"/>
      <w:sz w:val="20"/>
      <w:szCs w:val="20"/>
    </w:rPr>
  </w:style>
  <w:style w:type="paragraph" w:customStyle="1" w:styleId="p57">
    <w:name w:val="p57"/>
    <w:basedOn w:val="Standard"/>
    <w:rsid w:val="00CA1321"/>
    <w:pPr>
      <w:spacing w:before="100" w:beforeAutospacing="1" w:after="100" w:afterAutospacing="1" w:line="240" w:lineRule="auto"/>
      <w:jc w:val="left"/>
    </w:pPr>
    <w:rPr>
      <w:rFonts w:ascii="Times" w:hAnsi="Times"/>
      <w:sz w:val="20"/>
      <w:szCs w:val="20"/>
    </w:rPr>
  </w:style>
  <w:style w:type="paragraph" w:customStyle="1" w:styleId="p84">
    <w:name w:val="p84"/>
    <w:basedOn w:val="Standard"/>
    <w:rsid w:val="00CA1321"/>
    <w:pPr>
      <w:spacing w:before="100" w:beforeAutospacing="1" w:after="100" w:afterAutospacing="1" w:line="240" w:lineRule="auto"/>
      <w:jc w:val="left"/>
    </w:pPr>
    <w:rPr>
      <w:rFonts w:ascii="Times" w:hAnsi="Times"/>
      <w:sz w:val="20"/>
      <w:szCs w:val="20"/>
    </w:rPr>
  </w:style>
  <w:style w:type="paragraph" w:customStyle="1" w:styleId="p62">
    <w:name w:val="p62"/>
    <w:basedOn w:val="Standard"/>
    <w:rsid w:val="00CA1321"/>
    <w:pPr>
      <w:spacing w:before="100" w:beforeAutospacing="1" w:after="100" w:afterAutospacing="1" w:line="240" w:lineRule="auto"/>
      <w:jc w:val="left"/>
    </w:pPr>
    <w:rPr>
      <w:rFonts w:ascii="Times" w:hAnsi="Times"/>
      <w:sz w:val="20"/>
      <w:szCs w:val="20"/>
    </w:rPr>
  </w:style>
  <w:style w:type="paragraph" w:customStyle="1" w:styleId="p71">
    <w:name w:val="p71"/>
    <w:basedOn w:val="Standard"/>
    <w:rsid w:val="00CA1321"/>
    <w:pPr>
      <w:spacing w:before="100" w:beforeAutospacing="1" w:after="100" w:afterAutospacing="1" w:line="240" w:lineRule="auto"/>
      <w:jc w:val="left"/>
    </w:pPr>
    <w:rPr>
      <w:rFonts w:ascii="Times" w:hAnsi="Times"/>
      <w:sz w:val="20"/>
      <w:szCs w:val="20"/>
    </w:rPr>
  </w:style>
  <w:style w:type="paragraph" w:customStyle="1" w:styleId="p61">
    <w:name w:val="p61"/>
    <w:basedOn w:val="Standard"/>
    <w:rsid w:val="00CA1321"/>
    <w:pPr>
      <w:spacing w:before="100" w:beforeAutospacing="1" w:after="100" w:afterAutospacing="1" w:line="240" w:lineRule="auto"/>
      <w:jc w:val="left"/>
    </w:pPr>
    <w:rPr>
      <w:rFonts w:ascii="Times" w:hAnsi="Times"/>
      <w:sz w:val="20"/>
      <w:szCs w:val="20"/>
    </w:rPr>
  </w:style>
  <w:style w:type="paragraph" w:customStyle="1" w:styleId="p85">
    <w:name w:val="p85"/>
    <w:basedOn w:val="Standard"/>
    <w:rsid w:val="00CA1321"/>
    <w:pPr>
      <w:spacing w:before="100" w:beforeAutospacing="1" w:after="100" w:afterAutospacing="1" w:line="240" w:lineRule="auto"/>
      <w:jc w:val="left"/>
    </w:pPr>
    <w:rPr>
      <w:rFonts w:ascii="Times" w:hAnsi="Times"/>
      <w:sz w:val="20"/>
      <w:szCs w:val="20"/>
    </w:rPr>
  </w:style>
  <w:style w:type="paragraph" w:customStyle="1" w:styleId="p58">
    <w:name w:val="p58"/>
    <w:basedOn w:val="Standard"/>
    <w:rsid w:val="00CA1321"/>
    <w:pPr>
      <w:spacing w:before="100" w:beforeAutospacing="1" w:after="100" w:afterAutospacing="1" w:line="240" w:lineRule="auto"/>
      <w:jc w:val="left"/>
    </w:pPr>
    <w:rPr>
      <w:rFonts w:ascii="Times" w:hAnsi="Times"/>
      <w:sz w:val="20"/>
      <w:szCs w:val="20"/>
    </w:rPr>
  </w:style>
  <w:style w:type="paragraph" w:customStyle="1" w:styleId="p86">
    <w:name w:val="p86"/>
    <w:basedOn w:val="Standard"/>
    <w:rsid w:val="00CA1321"/>
    <w:pPr>
      <w:spacing w:before="100" w:beforeAutospacing="1" w:after="100" w:afterAutospacing="1" w:line="240" w:lineRule="auto"/>
      <w:jc w:val="left"/>
    </w:pPr>
    <w:rPr>
      <w:rFonts w:ascii="Times" w:hAnsi="Times"/>
      <w:sz w:val="20"/>
      <w:szCs w:val="20"/>
    </w:rPr>
  </w:style>
  <w:style w:type="paragraph" w:customStyle="1" w:styleId="p87">
    <w:name w:val="p87"/>
    <w:basedOn w:val="Standard"/>
    <w:rsid w:val="00CA1321"/>
    <w:pPr>
      <w:spacing w:before="100" w:beforeAutospacing="1" w:after="100" w:afterAutospacing="1" w:line="240" w:lineRule="auto"/>
      <w:jc w:val="left"/>
    </w:pPr>
    <w:rPr>
      <w:rFonts w:ascii="Times" w:hAnsi="Times"/>
      <w:sz w:val="20"/>
      <w:szCs w:val="20"/>
    </w:rPr>
  </w:style>
  <w:style w:type="paragraph" w:customStyle="1" w:styleId="p88">
    <w:name w:val="p88"/>
    <w:basedOn w:val="Standard"/>
    <w:rsid w:val="00CA1321"/>
    <w:pPr>
      <w:spacing w:before="100" w:beforeAutospacing="1" w:after="100" w:afterAutospacing="1" w:line="240" w:lineRule="auto"/>
      <w:jc w:val="left"/>
    </w:pPr>
    <w:rPr>
      <w:rFonts w:ascii="Times" w:hAnsi="Times"/>
      <w:sz w:val="20"/>
      <w:szCs w:val="20"/>
    </w:rPr>
  </w:style>
  <w:style w:type="character" w:customStyle="1" w:styleId="entry-byline">
    <w:name w:val="entry-byline"/>
    <w:basedOn w:val="Absatz-Standardschriftart"/>
    <w:rsid w:val="00CA1321"/>
  </w:style>
  <w:style w:type="character" w:customStyle="1" w:styleId="entry-date">
    <w:name w:val="entry-date"/>
    <w:basedOn w:val="Absatz-Standardschriftart"/>
    <w:rsid w:val="00CA1321"/>
  </w:style>
  <w:style w:type="character" w:customStyle="1" w:styleId="textexposedshow">
    <w:name w:val="text_exposed_show"/>
    <w:basedOn w:val="Absatz-Standardschriftart"/>
    <w:rsid w:val="00CA1321"/>
  </w:style>
  <w:style w:type="character" w:customStyle="1" w:styleId="notranslate">
    <w:name w:val="notranslate"/>
    <w:basedOn w:val="Absatz-Standardschriftart"/>
    <w:rsid w:val="00CA1321"/>
  </w:style>
  <w:style w:type="paragraph" w:customStyle="1" w:styleId="Default">
    <w:name w:val="Default"/>
    <w:rsid w:val="00CA1321"/>
    <w:pPr>
      <w:widowControl w:val="0"/>
      <w:autoSpaceDE w:val="0"/>
      <w:autoSpaceDN w:val="0"/>
      <w:adjustRightInd w:val="0"/>
      <w:spacing w:after="0" w:line="240" w:lineRule="auto"/>
    </w:pPr>
    <w:rPr>
      <w:rFonts w:ascii="Calibri" w:hAnsi="Calibri" w:cs="Calibri"/>
      <w:color w:val="000000"/>
      <w:sz w:val="24"/>
      <w:szCs w:val="24"/>
      <w:lang w:val="en-US" w:eastAsia="zh-CN"/>
    </w:rPr>
  </w:style>
  <w:style w:type="paragraph" w:customStyle="1" w:styleId="paper-authors">
    <w:name w:val="paper-authors"/>
    <w:basedOn w:val="Standard"/>
    <w:rsid w:val="00CA1321"/>
    <w:pPr>
      <w:spacing w:before="100" w:beforeAutospacing="1" w:after="100" w:afterAutospacing="1" w:line="240" w:lineRule="auto"/>
      <w:jc w:val="left"/>
    </w:pPr>
    <w:rPr>
      <w:rFonts w:ascii="Times" w:hAnsi="Times"/>
      <w:sz w:val="20"/>
      <w:szCs w:val="20"/>
      <w:lang w:val="en-US"/>
    </w:rPr>
  </w:style>
  <w:style w:type="table" w:styleId="HelleSchattierung-Akzent4">
    <w:name w:val="Light Shading Accent 4"/>
    <w:basedOn w:val="NormaleTabelle"/>
    <w:uiPriority w:val="60"/>
    <w:rsid w:val="00CA1321"/>
    <w:pPr>
      <w:spacing w:after="0" w:line="240" w:lineRule="auto"/>
    </w:pPr>
    <w:rPr>
      <w:color w:val="BF8F00" w:themeColor="accent4" w:themeShade="BF"/>
      <w:lang w:val="en-US" w:eastAsia="zh-CN"/>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HelleListe-Akzent4">
    <w:name w:val="Light List Accent 4"/>
    <w:basedOn w:val="NormaleTabelle"/>
    <w:uiPriority w:val="61"/>
    <w:rsid w:val="00CA1321"/>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character" w:styleId="Seitenzahl">
    <w:name w:val="page number"/>
    <w:basedOn w:val="Absatz-Standardschriftart"/>
    <w:unhideWhenUsed/>
    <w:rsid w:val="00CA1321"/>
  </w:style>
  <w:style w:type="paragraph" w:customStyle="1" w:styleId="longerquote">
    <w:name w:val="longer quote"/>
    <w:basedOn w:val="longerquotation"/>
    <w:link w:val="longerquoteZchn"/>
    <w:rsid w:val="00CA1321"/>
    <w:rPr>
      <w:lang w:val="en-GB"/>
    </w:rPr>
  </w:style>
  <w:style w:type="character" w:customStyle="1" w:styleId="longerquoteZchn">
    <w:name w:val="longer quote Zchn"/>
    <w:basedOn w:val="longerquotationZchn"/>
    <w:link w:val="longerquote"/>
    <w:rsid w:val="00CA1321"/>
    <w:rPr>
      <w:i/>
      <w:iCs/>
      <w:color w:val="5C2A59"/>
      <w:lang w:val="en-GB" w:eastAsia="zh-CN"/>
    </w:rPr>
  </w:style>
  <w:style w:type="paragraph" w:customStyle="1" w:styleId="text">
    <w:name w:val="text"/>
    <w:basedOn w:val="Standard"/>
    <w:rsid w:val="00CA1321"/>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paragraph" w:customStyle="1" w:styleId="bodytext">
    <w:name w:val="bodytext"/>
    <w:basedOn w:val="Standard"/>
    <w:rsid w:val="00CA1321"/>
    <w:pPr>
      <w:spacing w:before="100" w:beforeAutospacing="1" w:after="100" w:afterAutospacing="1" w:line="240" w:lineRule="auto"/>
      <w:jc w:val="left"/>
    </w:pPr>
    <w:rPr>
      <w:rFonts w:ascii="Times New Roman" w:eastAsia="Times New Roman" w:hAnsi="Times New Roman" w:cs="Times New Roman"/>
      <w:sz w:val="24"/>
      <w:szCs w:val="24"/>
      <w:lang w:val="de-AT" w:eastAsia="de-AT"/>
    </w:rPr>
  </w:style>
  <w:style w:type="table" w:styleId="MittlereListe1-Akzent4">
    <w:name w:val="Medium List 1 Accent 4"/>
    <w:basedOn w:val="NormaleTabelle"/>
    <w:uiPriority w:val="65"/>
    <w:rsid w:val="00CA1321"/>
    <w:pPr>
      <w:spacing w:after="0" w:line="240" w:lineRule="auto"/>
    </w:pPr>
    <w:rPr>
      <w:color w:val="000000" w:themeColor="text1"/>
      <w:lang w:val="en-US" w:eastAsia="zh-CN"/>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character" w:customStyle="1" w:styleId="acc">
    <w:name w:val="acc"/>
    <w:basedOn w:val="Absatz-Standardschriftart"/>
    <w:rsid w:val="00CA1321"/>
  </w:style>
  <w:style w:type="paragraph" w:customStyle="1" w:styleId="Formatvorlage1">
    <w:name w:val="Formatvorlage1"/>
    <w:basedOn w:val="Standard"/>
    <w:link w:val="Formatvorlage1Zchn"/>
    <w:qFormat/>
    <w:rsid w:val="00CA1321"/>
    <w:pPr>
      <w:keepNext/>
      <w:keepLines/>
      <w:spacing w:after="200"/>
      <w:ind w:firstLine="567"/>
    </w:pPr>
    <w:rPr>
      <w:rFonts w:ascii="Arial" w:hAnsi="Arial"/>
      <w:color w:val="0000FF"/>
      <w:lang w:val="en-US"/>
    </w:rPr>
  </w:style>
  <w:style w:type="character" w:customStyle="1" w:styleId="Formatvorlage1Zchn">
    <w:name w:val="Formatvorlage1 Zchn"/>
    <w:basedOn w:val="Absatz-Standardschriftart"/>
    <w:link w:val="Formatvorlage1"/>
    <w:rsid w:val="00CA1321"/>
    <w:rPr>
      <w:rFonts w:ascii="Arial" w:hAnsi="Arial"/>
      <w:color w:val="0000FF"/>
      <w:lang w:val="en-US"/>
    </w:rPr>
  </w:style>
  <w:style w:type="paragraph" w:customStyle="1" w:styleId="BulletedList">
    <w:name w:val="Bulleted List"/>
    <w:basedOn w:val="Listenabsatz"/>
    <w:link w:val="BulletedListZchn"/>
    <w:qFormat/>
    <w:rsid w:val="00CA1321"/>
    <w:pPr>
      <w:numPr>
        <w:numId w:val="2"/>
      </w:numPr>
      <w:spacing w:before="120" w:after="120" w:line="312" w:lineRule="auto"/>
    </w:pPr>
    <w:rPr>
      <w:rFonts w:ascii="Arial" w:eastAsia="Calibri" w:hAnsi="Arial" w:cs="Times New Roman"/>
      <w:lang w:val="en-US"/>
    </w:rPr>
  </w:style>
  <w:style w:type="character" w:customStyle="1" w:styleId="BulletedListZchn">
    <w:name w:val="Bulleted List Zchn"/>
    <w:link w:val="BulletedList"/>
    <w:rsid w:val="00CA1321"/>
    <w:rPr>
      <w:rFonts w:ascii="Arial" w:eastAsia="Calibri" w:hAnsi="Arial" w:cs="Times New Roman"/>
      <w:lang w:val="en-US"/>
    </w:rPr>
  </w:style>
  <w:style w:type="character" w:customStyle="1" w:styleId="st">
    <w:name w:val="st"/>
    <w:basedOn w:val="Absatz-Standardschriftart"/>
    <w:rsid w:val="00CA1321"/>
  </w:style>
  <w:style w:type="paragraph" w:customStyle="1" w:styleId="Pa1">
    <w:name w:val="Pa1"/>
    <w:basedOn w:val="Standard"/>
    <w:next w:val="Standard"/>
    <w:uiPriority w:val="99"/>
    <w:rsid w:val="00CA1321"/>
    <w:pPr>
      <w:autoSpaceDE w:val="0"/>
      <w:autoSpaceDN w:val="0"/>
      <w:adjustRightInd w:val="0"/>
      <w:spacing w:before="0" w:after="0" w:line="161" w:lineRule="atLeast"/>
      <w:jc w:val="left"/>
    </w:pPr>
    <w:rPr>
      <w:rFonts w:ascii="Taz SemiBold" w:hAnsi="Taz SemiBold"/>
      <w:sz w:val="24"/>
      <w:szCs w:val="24"/>
      <w:lang w:eastAsia="zh-CN"/>
    </w:rPr>
  </w:style>
  <w:style w:type="character" w:customStyle="1" w:styleId="A4">
    <w:name w:val="A4"/>
    <w:uiPriority w:val="99"/>
    <w:rsid w:val="00CA1321"/>
    <w:rPr>
      <w:rFonts w:ascii="Taz Bold" w:hAnsi="Taz Bold" w:cs="Taz Bold"/>
      <w:b/>
      <w:bCs/>
      <w:color w:val="000000"/>
      <w:sz w:val="13"/>
      <w:szCs w:val="13"/>
    </w:rPr>
  </w:style>
  <w:style w:type="character" w:customStyle="1" w:styleId="date-display-single">
    <w:name w:val="date-display-single"/>
    <w:basedOn w:val="Absatz-Standardschriftart"/>
    <w:rsid w:val="00CA1321"/>
  </w:style>
  <w:style w:type="paragraph" w:customStyle="1" w:styleId="Pa0">
    <w:name w:val="Pa0"/>
    <w:basedOn w:val="Standard"/>
    <w:next w:val="Standard"/>
    <w:uiPriority w:val="99"/>
    <w:rsid w:val="00CA1321"/>
    <w:pPr>
      <w:autoSpaceDE w:val="0"/>
      <w:autoSpaceDN w:val="0"/>
      <w:adjustRightInd w:val="0"/>
      <w:spacing w:before="0" w:after="0" w:line="241" w:lineRule="atLeast"/>
      <w:jc w:val="left"/>
    </w:pPr>
    <w:rPr>
      <w:rFonts w:ascii="Sari-RegularItalic" w:hAnsi="Sari-RegularItalic"/>
      <w:sz w:val="24"/>
      <w:szCs w:val="24"/>
      <w:lang w:eastAsia="zh-CN"/>
    </w:rPr>
  </w:style>
  <w:style w:type="character" w:customStyle="1" w:styleId="A6">
    <w:name w:val="A6"/>
    <w:uiPriority w:val="99"/>
    <w:rsid w:val="00CA1321"/>
    <w:rPr>
      <w:rFonts w:ascii="Sari-Regular" w:hAnsi="Sari-Regular" w:cs="Sari-Regular"/>
      <w:color w:val="000000"/>
      <w:sz w:val="17"/>
      <w:szCs w:val="17"/>
    </w:rPr>
  </w:style>
  <w:style w:type="paragraph" w:customStyle="1" w:styleId="H2">
    <w:name w:val="H2"/>
    <w:basedOn w:val="Standard"/>
    <w:next w:val="Standard"/>
    <w:uiPriority w:val="99"/>
    <w:rsid w:val="00CA1321"/>
    <w:pPr>
      <w:keepNext/>
      <w:autoSpaceDE w:val="0"/>
      <w:autoSpaceDN w:val="0"/>
      <w:adjustRightInd w:val="0"/>
      <w:spacing w:before="100" w:after="100" w:line="240" w:lineRule="auto"/>
      <w:jc w:val="left"/>
      <w:outlineLvl w:val="2"/>
    </w:pPr>
    <w:rPr>
      <w:rFonts w:ascii="Times New Roman" w:hAnsi="Times New Roman" w:cs="Times New Roman"/>
      <w:b/>
      <w:bCs/>
      <w:sz w:val="36"/>
      <w:szCs w:val="36"/>
      <w:lang w:val="nl-BE" w:eastAsia="zh-CN"/>
    </w:rPr>
  </w:style>
  <w:style w:type="paragraph" w:customStyle="1" w:styleId="Blockquote">
    <w:name w:val="Blockquote"/>
    <w:basedOn w:val="Standard"/>
    <w:uiPriority w:val="99"/>
    <w:rsid w:val="00CA1321"/>
    <w:pPr>
      <w:autoSpaceDE w:val="0"/>
      <w:autoSpaceDN w:val="0"/>
      <w:adjustRightInd w:val="0"/>
      <w:spacing w:before="100" w:after="100" w:line="240" w:lineRule="auto"/>
      <w:ind w:left="360" w:right="360"/>
      <w:jc w:val="left"/>
    </w:pPr>
    <w:rPr>
      <w:rFonts w:ascii="Times New Roman" w:hAnsi="Times New Roman" w:cs="Times New Roman"/>
      <w:sz w:val="24"/>
      <w:szCs w:val="24"/>
      <w:lang w:val="nl-BE" w:eastAsia="zh-CN"/>
    </w:rPr>
  </w:style>
  <w:style w:type="paragraph" w:styleId="Endnotentext">
    <w:name w:val="endnote text"/>
    <w:basedOn w:val="Standard"/>
    <w:link w:val="EndnotentextZchn"/>
    <w:uiPriority w:val="99"/>
    <w:unhideWhenUsed/>
    <w:rsid w:val="00CA1321"/>
    <w:pPr>
      <w:spacing w:before="0" w:after="0" w:line="240" w:lineRule="auto"/>
    </w:pPr>
    <w:rPr>
      <w:sz w:val="20"/>
      <w:szCs w:val="20"/>
      <w:lang w:val="en-US" w:eastAsia="zh-CN"/>
    </w:rPr>
  </w:style>
  <w:style w:type="character" w:customStyle="1" w:styleId="EndnotentextZchn">
    <w:name w:val="Endnotentext Zchn"/>
    <w:basedOn w:val="Absatz-Standardschriftart"/>
    <w:link w:val="Endnotentext"/>
    <w:uiPriority w:val="99"/>
    <w:rsid w:val="00CA1321"/>
    <w:rPr>
      <w:sz w:val="20"/>
      <w:szCs w:val="20"/>
      <w:lang w:val="en-US" w:eastAsia="zh-CN"/>
    </w:rPr>
  </w:style>
  <w:style w:type="paragraph" w:customStyle="1" w:styleId="toggle-item">
    <w:name w:val="toggle-item"/>
    <w:basedOn w:val="Standard"/>
    <w:rsid w:val="00CA1321"/>
    <w:pPr>
      <w:spacing w:before="0" w:after="180" w:line="240" w:lineRule="auto"/>
      <w:jc w:val="left"/>
    </w:pPr>
    <w:rPr>
      <w:rFonts w:ascii="Times New Roman" w:eastAsia="Times New Roman" w:hAnsi="Times New Roman" w:cs="Times New Roman"/>
      <w:sz w:val="24"/>
      <w:szCs w:val="24"/>
      <w:lang w:eastAsia="en-GB"/>
    </w:rPr>
  </w:style>
  <w:style w:type="character" w:customStyle="1" w:styleId="st1">
    <w:name w:val="st1"/>
    <w:basedOn w:val="Absatz-Standardschriftart"/>
    <w:rsid w:val="00CA1321"/>
  </w:style>
  <w:style w:type="character" w:customStyle="1" w:styleId="tdhead1">
    <w:name w:val="tdhead1"/>
    <w:basedOn w:val="Absatz-Standardschriftart"/>
    <w:rsid w:val="00CA1321"/>
  </w:style>
  <w:style w:type="table" w:styleId="HelleSchattierung-Akzent1">
    <w:name w:val="Light Shading Accent 1"/>
    <w:basedOn w:val="NormaleTabelle"/>
    <w:uiPriority w:val="60"/>
    <w:rsid w:val="00CA1321"/>
    <w:pPr>
      <w:spacing w:after="0" w:line="240" w:lineRule="auto"/>
    </w:pPr>
    <w:rPr>
      <w:color w:val="2F5496" w:themeColor="accent1" w:themeShade="BF"/>
      <w:lang w:val="en-US" w:eastAsia="zh-CN"/>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MittlereSchattierung1-Akzent4">
    <w:name w:val="Medium Shading 1 Accent 4"/>
    <w:basedOn w:val="NormaleTabelle"/>
    <w:uiPriority w:val="63"/>
    <w:rsid w:val="00CA1321"/>
    <w:pPr>
      <w:spacing w:after="0" w:line="240" w:lineRule="auto"/>
    </w:pPr>
    <w:rPr>
      <w:lang w:val="en-US" w:eastAsia="zh-CN"/>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Lines="0" w:before="0" w:beforeAutospacing="0" w:afterLines="0" w:after="0" w:afterAutospacing="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character" w:customStyle="1" w:styleId="SingleTxtGChar">
    <w:name w:val="_ Single Txt_G Char"/>
    <w:basedOn w:val="Absatz-Standardschriftart"/>
    <w:link w:val="SingleTxtG"/>
    <w:locked/>
    <w:rsid w:val="00CA1321"/>
    <w:rPr>
      <w:lang w:val="en-GB"/>
    </w:rPr>
  </w:style>
  <w:style w:type="paragraph" w:customStyle="1" w:styleId="SingleTxtG">
    <w:name w:val="_ Single Txt_G"/>
    <w:basedOn w:val="Standard"/>
    <w:link w:val="SingleTxtGChar"/>
    <w:rsid w:val="00CA1321"/>
    <w:pPr>
      <w:suppressAutoHyphens/>
      <w:spacing w:before="0" w:after="120" w:line="240" w:lineRule="atLeast"/>
      <w:ind w:left="1134" w:right="1134"/>
    </w:pPr>
  </w:style>
  <w:style w:type="character" w:customStyle="1" w:styleId="apple-style-span">
    <w:name w:val="apple-style-span"/>
    <w:basedOn w:val="Absatz-Standardschriftart"/>
    <w:uiPriority w:val="99"/>
    <w:rsid w:val="00CA1321"/>
  </w:style>
  <w:style w:type="character" w:customStyle="1" w:styleId="ms-rtethemeforecolor-2-0">
    <w:name w:val="ms-rtethemeforecolor-2-0"/>
    <w:basedOn w:val="Absatz-Standardschriftart"/>
    <w:rsid w:val="00CA1321"/>
  </w:style>
  <w:style w:type="character" w:customStyle="1" w:styleId="endnotetextchar">
    <w:name w:val="endnotetextchar"/>
    <w:basedOn w:val="Absatz-Standardschriftart"/>
    <w:rsid w:val="00CA1321"/>
  </w:style>
  <w:style w:type="character" w:customStyle="1" w:styleId="documentcontent">
    <w:name w:val="documentcontent"/>
    <w:basedOn w:val="Absatz-Standardschriftart"/>
    <w:rsid w:val="00CA1321"/>
  </w:style>
  <w:style w:type="character" w:customStyle="1" w:styleId="highlight">
    <w:name w:val="highlight"/>
    <w:basedOn w:val="Absatz-Standardschriftart"/>
    <w:rsid w:val="00CA1321"/>
  </w:style>
  <w:style w:type="character" w:customStyle="1" w:styleId="tekst13">
    <w:name w:val="tekst13"/>
    <w:basedOn w:val="Absatz-Standardschriftart"/>
    <w:rsid w:val="00CA1321"/>
  </w:style>
  <w:style w:type="paragraph" w:customStyle="1" w:styleId="Enumm">
    <w:name w:val="Enumm"/>
    <w:basedOn w:val="Standard"/>
    <w:link w:val="EnummZchn"/>
    <w:qFormat/>
    <w:rsid w:val="00CA1321"/>
    <w:pPr>
      <w:numPr>
        <w:numId w:val="3"/>
      </w:numPr>
      <w:spacing w:before="120" w:after="120" w:line="240" w:lineRule="auto"/>
    </w:pPr>
    <w:rPr>
      <w:color w:val="000000" w:themeColor="text1"/>
      <w:sz w:val="18"/>
      <w:szCs w:val="18"/>
    </w:rPr>
  </w:style>
  <w:style w:type="character" w:customStyle="1" w:styleId="EnummZchn">
    <w:name w:val="Enumm Zchn"/>
    <w:basedOn w:val="Absatz-Standardschriftart"/>
    <w:link w:val="Enumm"/>
    <w:rsid w:val="00CA1321"/>
    <w:rPr>
      <w:color w:val="000000" w:themeColor="text1"/>
      <w:sz w:val="18"/>
      <w:szCs w:val="18"/>
      <w:lang w:val="en-GB"/>
    </w:rPr>
  </w:style>
  <w:style w:type="paragraph" w:styleId="Verzeichnis5">
    <w:name w:val="toc 5"/>
    <w:basedOn w:val="Standard"/>
    <w:next w:val="Standard"/>
    <w:autoRedefine/>
    <w:uiPriority w:val="39"/>
    <w:unhideWhenUsed/>
    <w:rsid w:val="00CA1321"/>
    <w:pPr>
      <w:spacing w:before="0" w:after="100"/>
      <w:ind w:left="880"/>
      <w:jc w:val="left"/>
    </w:pPr>
    <w:rPr>
      <w:rFonts w:eastAsiaTheme="minorEastAsia"/>
      <w:lang w:eastAsia="en-GB"/>
    </w:rPr>
  </w:style>
  <w:style w:type="paragraph" w:styleId="Verzeichnis6">
    <w:name w:val="toc 6"/>
    <w:basedOn w:val="Standard"/>
    <w:next w:val="Standard"/>
    <w:autoRedefine/>
    <w:uiPriority w:val="39"/>
    <w:unhideWhenUsed/>
    <w:rsid w:val="00CA1321"/>
    <w:pPr>
      <w:spacing w:before="0" w:after="100"/>
      <w:ind w:left="1100"/>
      <w:jc w:val="left"/>
    </w:pPr>
    <w:rPr>
      <w:rFonts w:eastAsiaTheme="minorEastAsia"/>
      <w:lang w:eastAsia="en-GB"/>
    </w:rPr>
  </w:style>
  <w:style w:type="paragraph" w:styleId="Verzeichnis7">
    <w:name w:val="toc 7"/>
    <w:basedOn w:val="Standard"/>
    <w:next w:val="Standard"/>
    <w:autoRedefine/>
    <w:uiPriority w:val="39"/>
    <w:unhideWhenUsed/>
    <w:rsid w:val="00CA1321"/>
    <w:pPr>
      <w:spacing w:before="0" w:after="100"/>
      <w:ind w:left="1320"/>
      <w:jc w:val="left"/>
    </w:pPr>
    <w:rPr>
      <w:rFonts w:eastAsiaTheme="minorEastAsia"/>
      <w:lang w:eastAsia="en-GB"/>
    </w:rPr>
  </w:style>
  <w:style w:type="paragraph" w:styleId="Verzeichnis8">
    <w:name w:val="toc 8"/>
    <w:basedOn w:val="Standard"/>
    <w:next w:val="Standard"/>
    <w:autoRedefine/>
    <w:uiPriority w:val="39"/>
    <w:unhideWhenUsed/>
    <w:rsid w:val="00CA1321"/>
    <w:pPr>
      <w:spacing w:before="0" w:after="100"/>
      <w:ind w:left="1540"/>
      <w:jc w:val="left"/>
    </w:pPr>
    <w:rPr>
      <w:rFonts w:eastAsiaTheme="minorEastAsia"/>
      <w:lang w:eastAsia="en-GB"/>
    </w:rPr>
  </w:style>
  <w:style w:type="paragraph" w:styleId="Verzeichnis9">
    <w:name w:val="toc 9"/>
    <w:basedOn w:val="Standard"/>
    <w:next w:val="Standard"/>
    <w:autoRedefine/>
    <w:uiPriority w:val="39"/>
    <w:unhideWhenUsed/>
    <w:rsid w:val="00CA1321"/>
    <w:pPr>
      <w:spacing w:before="0" w:after="100"/>
      <w:ind w:left="1760"/>
      <w:jc w:val="left"/>
    </w:pPr>
    <w:rPr>
      <w:rFonts w:eastAsiaTheme="minorEastAsia"/>
      <w:lang w:eastAsia="en-GB"/>
    </w:rPr>
  </w:style>
  <w:style w:type="table" w:styleId="FarbigesRaster-Akzent2">
    <w:name w:val="Colorful Grid Accent 2"/>
    <w:basedOn w:val="NormaleTabelle"/>
    <w:uiPriority w:val="73"/>
    <w:rsid w:val="00CA1321"/>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paragraph" w:customStyle="1" w:styleId="doc-ti">
    <w:name w:val="doc-ti"/>
    <w:basedOn w:val="Standard"/>
    <w:rsid w:val="00CA132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uper">
    <w:name w:val="super"/>
    <w:basedOn w:val="Absatz-Standardschriftart"/>
    <w:rsid w:val="00CA1321"/>
  </w:style>
  <w:style w:type="character" w:customStyle="1" w:styleId="hps">
    <w:name w:val="hps"/>
    <w:basedOn w:val="Absatz-Standardschriftart"/>
    <w:rsid w:val="00CA1321"/>
  </w:style>
  <w:style w:type="character" w:customStyle="1" w:styleId="atn">
    <w:name w:val="atn"/>
    <w:basedOn w:val="Absatz-Standardschriftart"/>
    <w:rsid w:val="00CA1321"/>
  </w:style>
  <w:style w:type="character" w:customStyle="1" w:styleId="ellipsistext">
    <w:name w:val="ellipsis_text"/>
    <w:basedOn w:val="Absatz-Standardschriftart"/>
    <w:rsid w:val="00CA1321"/>
  </w:style>
  <w:style w:type="paragraph" w:customStyle="1" w:styleId="Standard1">
    <w:name w:val="Standard1"/>
    <w:basedOn w:val="Standard"/>
    <w:rsid w:val="00CA132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shorttext">
    <w:name w:val="short_text"/>
    <w:basedOn w:val="Absatz-Standardschriftart"/>
    <w:rsid w:val="00CA1321"/>
  </w:style>
  <w:style w:type="paragraph" w:customStyle="1" w:styleId="align-justify2">
    <w:name w:val="align-justify2"/>
    <w:basedOn w:val="Standard"/>
    <w:rsid w:val="00CA1321"/>
    <w:pPr>
      <w:spacing w:before="0" w:after="240" w:line="240" w:lineRule="auto"/>
    </w:pPr>
    <w:rPr>
      <w:rFonts w:ascii="Times New Roman" w:eastAsia="Times New Roman" w:hAnsi="Times New Roman" w:cs="Times New Roman"/>
      <w:sz w:val="24"/>
      <w:szCs w:val="24"/>
      <w:lang w:val="fr-FR" w:eastAsia="fr-FR"/>
    </w:rPr>
  </w:style>
  <w:style w:type="paragraph" w:customStyle="1" w:styleId="spip">
    <w:name w:val="spip"/>
    <w:basedOn w:val="Standard"/>
    <w:rsid w:val="00CA1321"/>
    <w:pPr>
      <w:spacing w:before="100" w:beforeAutospacing="1" w:after="100" w:afterAutospacing="1" w:line="240" w:lineRule="auto"/>
      <w:jc w:val="left"/>
    </w:pPr>
    <w:rPr>
      <w:rFonts w:ascii="Times New Roman" w:eastAsia="Times New Roman" w:hAnsi="Times New Roman" w:cs="Times New Roman"/>
      <w:sz w:val="24"/>
      <w:szCs w:val="24"/>
      <w:lang w:val="fr-FR" w:eastAsia="fr-FR"/>
    </w:rPr>
  </w:style>
  <w:style w:type="character" w:customStyle="1" w:styleId="glmot">
    <w:name w:val="gl_mot"/>
    <w:basedOn w:val="Absatz-Standardschriftart"/>
    <w:rsid w:val="00CA1321"/>
  </w:style>
  <w:style w:type="paragraph" w:styleId="Aufzhlungszeichen">
    <w:name w:val="List Bullet"/>
    <w:basedOn w:val="Standard"/>
    <w:uiPriority w:val="99"/>
    <w:semiHidden/>
    <w:unhideWhenUsed/>
    <w:rsid w:val="00CA1321"/>
    <w:pPr>
      <w:numPr>
        <w:numId w:val="7"/>
      </w:numPr>
      <w:contextualSpacing/>
    </w:pPr>
    <w:rPr>
      <w:lang w:val="en-US" w:eastAsia="zh-CN"/>
    </w:rPr>
  </w:style>
  <w:style w:type="character" w:customStyle="1" w:styleId="WW8Num2z0">
    <w:name w:val="WW8Num2z0"/>
    <w:rsid w:val="00CA1321"/>
    <w:rPr>
      <w:rFonts w:ascii="Symbol" w:hAnsi="Symbol" w:cs="Symbol"/>
    </w:rPr>
  </w:style>
  <w:style w:type="character" w:customStyle="1" w:styleId="WW8Num2z1">
    <w:name w:val="WW8Num2z1"/>
    <w:rsid w:val="00CA1321"/>
    <w:rPr>
      <w:rFonts w:ascii="Courier New" w:hAnsi="Courier New" w:cs="Courier New"/>
    </w:rPr>
  </w:style>
  <w:style w:type="character" w:customStyle="1" w:styleId="WW8Num2z2">
    <w:name w:val="WW8Num2z2"/>
    <w:rsid w:val="00CA1321"/>
    <w:rPr>
      <w:rFonts w:ascii="Wingdings" w:hAnsi="Wingdings" w:cs="Wingdings"/>
    </w:rPr>
  </w:style>
  <w:style w:type="character" w:customStyle="1" w:styleId="WW8Num3z0">
    <w:name w:val="WW8Num3z0"/>
    <w:rsid w:val="00CA1321"/>
    <w:rPr>
      <w:rFonts w:ascii="Symbol" w:hAnsi="Symbol" w:cs="Symbol"/>
    </w:rPr>
  </w:style>
  <w:style w:type="character" w:customStyle="1" w:styleId="WW8Num3z1">
    <w:name w:val="WW8Num3z1"/>
    <w:rsid w:val="00CA1321"/>
    <w:rPr>
      <w:rFonts w:ascii="Courier New" w:hAnsi="Courier New" w:cs="Courier New"/>
    </w:rPr>
  </w:style>
  <w:style w:type="character" w:customStyle="1" w:styleId="WW8Num3z2">
    <w:name w:val="WW8Num3z2"/>
    <w:rsid w:val="00CA1321"/>
    <w:rPr>
      <w:rFonts w:ascii="Wingdings" w:hAnsi="Wingdings" w:cs="Wingdings"/>
    </w:rPr>
  </w:style>
  <w:style w:type="character" w:customStyle="1" w:styleId="WW8Num4z0">
    <w:name w:val="WW8Num4z0"/>
    <w:rsid w:val="00CA1321"/>
    <w:rPr>
      <w:rFonts w:ascii="Symbol" w:hAnsi="Symbol" w:cs="Symbol"/>
    </w:rPr>
  </w:style>
  <w:style w:type="character" w:customStyle="1" w:styleId="WW8Num4z1">
    <w:name w:val="WW8Num4z1"/>
    <w:rsid w:val="00CA1321"/>
    <w:rPr>
      <w:rFonts w:ascii="Courier New" w:hAnsi="Courier New" w:cs="Courier New"/>
    </w:rPr>
  </w:style>
  <w:style w:type="character" w:customStyle="1" w:styleId="WW8Num4z2">
    <w:name w:val="WW8Num4z2"/>
    <w:rsid w:val="00CA1321"/>
    <w:rPr>
      <w:rFonts w:ascii="Wingdings" w:hAnsi="Wingdings" w:cs="Wingdings"/>
    </w:rPr>
  </w:style>
  <w:style w:type="character" w:customStyle="1" w:styleId="WW8Num5z0">
    <w:name w:val="WW8Num5z0"/>
    <w:rsid w:val="00CA1321"/>
    <w:rPr>
      <w:rFonts w:ascii="Symbol" w:hAnsi="Symbol" w:cs="Symbol"/>
    </w:rPr>
  </w:style>
  <w:style w:type="character" w:customStyle="1" w:styleId="WW8Num5z1">
    <w:name w:val="WW8Num5z1"/>
    <w:rsid w:val="00CA1321"/>
    <w:rPr>
      <w:rFonts w:ascii="Courier New" w:hAnsi="Courier New" w:cs="Courier New"/>
    </w:rPr>
  </w:style>
  <w:style w:type="character" w:customStyle="1" w:styleId="WW8Num5z2">
    <w:name w:val="WW8Num5z2"/>
    <w:rsid w:val="00CA1321"/>
    <w:rPr>
      <w:rFonts w:ascii="Wingdings" w:hAnsi="Wingdings" w:cs="Wingdings"/>
    </w:rPr>
  </w:style>
  <w:style w:type="character" w:customStyle="1" w:styleId="WW8Num6z0">
    <w:name w:val="WW8Num6z0"/>
    <w:rsid w:val="00CA1321"/>
    <w:rPr>
      <w:rFonts w:ascii="Symbol" w:hAnsi="Symbol" w:cs="Symbol"/>
    </w:rPr>
  </w:style>
  <w:style w:type="character" w:customStyle="1" w:styleId="WW8Num6z1">
    <w:name w:val="WW8Num6z1"/>
    <w:rsid w:val="00CA1321"/>
    <w:rPr>
      <w:rFonts w:ascii="Courier New" w:hAnsi="Courier New" w:cs="Courier New"/>
    </w:rPr>
  </w:style>
  <w:style w:type="character" w:customStyle="1" w:styleId="WW8Num6z2">
    <w:name w:val="WW8Num6z2"/>
    <w:rsid w:val="00CA1321"/>
    <w:rPr>
      <w:rFonts w:ascii="Wingdings" w:hAnsi="Wingdings" w:cs="Wingdings"/>
    </w:rPr>
  </w:style>
  <w:style w:type="character" w:customStyle="1" w:styleId="WW8Num7z0">
    <w:name w:val="WW8Num7z0"/>
    <w:rsid w:val="00CA1321"/>
    <w:rPr>
      <w:rFonts w:ascii="Symbol" w:hAnsi="Symbol" w:cs="Symbol"/>
    </w:rPr>
  </w:style>
  <w:style w:type="character" w:customStyle="1" w:styleId="WW8Num7z1">
    <w:name w:val="WW8Num7z1"/>
    <w:rsid w:val="00CA1321"/>
    <w:rPr>
      <w:rFonts w:ascii="Courier New" w:hAnsi="Courier New" w:cs="Courier New"/>
    </w:rPr>
  </w:style>
  <w:style w:type="character" w:customStyle="1" w:styleId="WW8Num7z2">
    <w:name w:val="WW8Num7z2"/>
    <w:rsid w:val="00CA1321"/>
    <w:rPr>
      <w:rFonts w:ascii="Wingdings" w:hAnsi="Wingdings" w:cs="Wingdings"/>
    </w:rPr>
  </w:style>
  <w:style w:type="character" w:customStyle="1" w:styleId="WW8Num8z0">
    <w:name w:val="WW8Num8z0"/>
    <w:rsid w:val="00CA1321"/>
    <w:rPr>
      <w:rFonts w:ascii="Symbol" w:hAnsi="Symbol" w:cs="Symbol"/>
    </w:rPr>
  </w:style>
  <w:style w:type="character" w:customStyle="1" w:styleId="WW8Num8z1">
    <w:name w:val="WW8Num8z1"/>
    <w:rsid w:val="00CA1321"/>
    <w:rPr>
      <w:rFonts w:ascii="Courier New" w:hAnsi="Courier New" w:cs="Courier New"/>
    </w:rPr>
  </w:style>
  <w:style w:type="character" w:customStyle="1" w:styleId="WW8Num8z2">
    <w:name w:val="WW8Num8z2"/>
    <w:rsid w:val="00CA1321"/>
    <w:rPr>
      <w:rFonts w:ascii="Wingdings" w:hAnsi="Wingdings" w:cs="Wingdings"/>
    </w:rPr>
  </w:style>
  <w:style w:type="character" w:customStyle="1" w:styleId="WW8Num9z0">
    <w:name w:val="WW8Num9z0"/>
    <w:rsid w:val="00CA1321"/>
    <w:rPr>
      <w:rFonts w:ascii="Symbol" w:hAnsi="Symbol" w:cs="Symbol"/>
    </w:rPr>
  </w:style>
  <w:style w:type="character" w:customStyle="1" w:styleId="WW8Num9z1">
    <w:name w:val="WW8Num9z1"/>
    <w:rsid w:val="00CA1321"/>
    <w:rPr>
      <w:rFonts w:ascii="Courier New" w:hAnsi="Courier New" w:cs="Courier New"/>
    </w:rPr>
  </w:style>
  <w:style w:type="character" w:customStyle="1" w:styleId="WW8Num9z2">
    <w:name w:val="WW8Num9z2"/>
    <w:rsid w:val="00CA1321"/>
    <w:rPr>
      <w:rFonts w:ascii="Wingdings" w:hAnsi="Wingdings" w:cs="Wingdings"/>
    </w:rPr>
  </w:style>
  <w:style w:type="character" w:customStyle="1" w:styleId="WW8Num10z0">
    <w:name w:val="WW8Num10z0"/>
    <w:rsid w:val="00CA1321"/>
    <w:rPr>
      <w:rFonts w:ascii="Symbol" w:hAnsi="Symbol" w:cs="Symbol"/>
    </w:rPr>
  </w:style>
  <w:style w:type="character" w:customStyle="1" w:styleId="WW8Num10z1">
    <w:name w:val="WW8Num10z1"/>
    <w:rsid w:val="00CA1321"/>
    <w:rPr>
      <w:rFonts w:ascii="Courier New" w:hAnsi="Courier New" w:cs="Courier New"/>
    </w:rPr>
  </w:style>
  <w:style w:type="character" w:customStyle="1" w:styleId="WW8Num10z2">
    <w:name w:val="WW8Num10z2"/>
    <w:rsid w:val="00CA1321"/>
    <w:rPr>
      <w:rFonts w:ascii="Wingdings" w:hAnsi="Wingdings" w:cs="Wingdings"/>
    </w:rPr>
  </w:style>
  <w:style w:type="character" w:customStyle="1" w:styleId="WW8Num11z0">
    <w:name w:val="WW8Num11z0"/>
    <w:rsid w:val="00CA1321"/>
    <w:rPr>
      <w:rFonts w:ascii="Symbol" w:hAnsi="Symbol" w:cs="Symbol"/>
    </w:rPr>
  </w:style>
  <w:style w:type="character" w:customStyle="1" w:styleId="WW8Num11z1">
    <w:name w:val="WW8Num11z1"/>
    <w:rsid w:val="00CA1321"/>
    <w:rPr>
      <w:rFonts w:ascii="Courier New" w:hAnsi="Courier New" w:cs="Courier New"/>
    </w:rPr>
  </w:style>
  <w:style w:type="character" w:customStyle="1" w:styleId="WW8Num11z2">
    <w:name w:val="WW8Num11z2"/>
    <w:rsid w:val="00CA1321"/>
    <w:rPr>
      <w:rFonts w:ascii="Wingdings" w:hAnsi="Wingdings" w:cs="Wingdings"/>
    </w:rPr>
  </w:style>
  <w:style w:type="character" w:customStyle="1" w:styleId="WW8Num12z0">
    <w:name w:val="WW8Num12z0"/>
    <w:rsid w:val="00CA1321"/>
    <w:rPr>
      <w:rFonts w:ascii="Symbol" w:hAnsi="Symbol" w:cs="Symbol"/>
    </w:rPr>
  </w:style>
  <w:style w:type="character" w:customStyle="1" w:styleId="WW8Num12z1">
    <w:name w:val="WW8Num12z1"/>
    <w:rsid w:val="00CA1321"/>
    <w:rPr>
      <w:rFonts w:ascii="Courier New" w:hAnsi="Courier New" w:cs="Courier New"/>
    </w:rPr>
  </w:style>
  <w:style w:type="character" w:customStyle="1" w:styleId="WW8Num13z0">
    <w:name w:val="WW8Num13z0"/>
    <w:rsid w:val="00CA1321"/>
    <w:rPr>
      <w:rFonts w:ascii="Symbol" w:hAnsi="Symbol" w:cs="Symbol"/>
    </w:rPr>
  </w:style>
  <w:style w:type="character" w:customStyle="1" w:styleId="WW8Num13z1">
    <w:name w:val="WW8Num13z1"/>
    <w:rsid w:val="00CA1321"/>
    <w:rPr>
      <w:rFonts w:ascii="Courier New" w:hAnsi="Courier New" w:cs="Courier New"/>
    </w:rPr>
  </w:style>
  <w:style w:type="character" w:customStyle="1" w:styleId="WW8Num14z0">
    <w:name w:val="WW8Num14z0"/>
    <w:rsid w:val="00CA1321"/>
    <w:rPr>
      <w:rFonts w:ascii="Symbol" w:hAnsi="Symbol" w:cs="Symbol"/>
    </w:rPr>
  </w:style>
  <w:style w:type="character" w:customStyle="1" w:styleId="WW8Num14z1">
    <w:name w:val="WW8Num14z1"/>
    <w:rsid w:val="00CA1321"/>
    <w:rPr>
      <w:rFonts w:ascii="OpenSymbol" w:hAnsi="OpenSymbol" w:cs="OpenSymbol"/>
    </w:rPr>
  </w:style>
  <w:style w:type="character" w:customStyle="1" w:styleId="WW8Num18z0">
    <w:name w:val="WW8Num18z0"/>
    <w:rsid w:val="00CA1321"/>
    <w:rPr>
      <w:rFonts w:ascii="Symbol" w:hAnsi="Symbol" w:cs="OpenSymbol"/>
    </w:rPr>
  </w:style>
  <w:style w:type="character" w:customStyle="1" w:styleId="WW8Num19z0">
    <w:name w:val="WW8Num19z0"/>
    <w:rsid w:val="00CA1321"/>
    <w:rPr>
      <w:rFonts w:ascii="Symbol" w:hAnsi="Symbol" w:cs="OpenSymbol"/>
    </w:rPr>
  </w:style>
  <w:style w:type="character" w:customStyle="1" w:styleId="WW8Num20z0">
    <w:name w:val="WW8Num20z0"/>
    <w:rsid w:val="00CA1321"/>
    <w:rPr>
      <w:rFonts w:ascii="Symbol" w:hAnsi="Symbol" w:cs="OpenSymbol"/>
    </w:rPr>
  </w:style>
  <w:style w:type="character" w:customStyle="1" w:styleId="WW8Num20z1">
    <w:name w:val="WW8Num20z1"/>
    <w:rsid w:val="00CA1321"/>
    <w:rPr>
      <w:rFonts w:ascii="OpenSymbol" w:hAnsi="OpenSymbol" w:cs="OpenSymbol"/>
    </w:rPr>
  </w:style>
  <w:style w:type="character" w:customStyle="1" w:styleId="WW8Num21z0">
    <w:name w:val="WW8Num21z0"/>
    <w:rsid w:val="00CA1321"/>
    <w:rPr>
      <w:rFonts w:ascii="Symbol" w:hAnsi="Symbol" w:cs="OpenSymbol"/>
    </w:rPr>
  </w:style>
  <w:style w:type="character" w:customStyle="1" w:styleId="WW8Num21z1">
    <w:name w:val="WW8Num21z1"/>
    <w:rsid w:val="00CA1321"/>
    <w:rPr>
      <w:rFonts w:ascii="OpenSymbol" w:hAnsi="OpenSymbol" w:cs="OpenSymbol"/>
    </w:rPr>
  </w:style>
  <w:style w:type="character" w:customStyle="1" w:styleId="WW8Num22z0">
    <w:name w:val="WW8Num22z0"/>
    <w:rsid w:val="00CA1321"/>
    <w:rPr>
      <w:rFonts w:ascii="Symbol" w:hAnsi="Symbol" w:cs="OpenSymbol"/>
    </w:rPr>
  </w:style>
  <w:style w:type="character" w:customStyle="1" w:styleId="WW8Num22z1">
    <w:name w:val="WW8Num22z1"/>
    <w:rsid w:val="00CA1321"/>
    <w:rPr>
      <w:rFonts w:ascii="OpenSymbol" w:hAnsi="OpenSymbol" w:cs="OpenSymbol"/>
    </w:rPr>
  </w:style>
  <w:style w:type="character" w:customStyle="1" w:styleId="WW8Num23z0">
    <w:name w:val="WW8Num23z0"/>
    <w:rsid w:val="00CA1321"/>
    <w:rPr>
      <w:rFonts w:ascii="Symbol" w:hAnsi="Symbol" w:cs="OpenSymbol"/>
    </w:rPr>
  </w:style>
  <w:style w:type="character" w:customStyle="1" w:styleId="WW8Num24z0">
    <w:name w:val="WW8Num24z0"/>
    <w:rsid w:val="00CA1321"/>
    <w:rPr>
      <w:rFonts w:ascii="Symbol" w:hAnsi="Symbol" w:cs="OpenSymbol"/>
    </w:rPr>
  </w:style>
  <w:style w:type="character" w:customStyle="1" w:styleId="WW8Num24z1">
    <w:name w:val="WW8Num24z1"/>
    <w:rsid w:val="00CA1321"/>
    <w:rPr>
      <w:rFonts w:ascii="OpenSymbol" w:hAnsi="OpenSymbol" w:cs="OpenSymbol"/>
    </w:rPr>
  </w:style>
  <w:style w:type="character" w:customStyle="1" w:styleId="WW8Num15z0">
    <w:name w:val="WW8Num15z0"/>
    <w:rsid w:val="00CA1321"/>
    <w:rPr>
      <w:rFonts w:ascii="Calibri" w:hAnsi="Calibri" w:cs="Calibri"/>
    </w:rPr>
  </w:style>
  <w:style w:type="character" w:customStyle="1" w:styleId="WW8Num15z1">
    <w:name w:val="WW8Num15z1"/>
    <w:rsid w:val="00CA1321"/>
    <w:rPr>
      <w:rFonts w:ascii="Courier New" w:hAnsi="Courier New" w:cs="Courier New"/>
    </w:rPr>
  </w:style>
  <w:style w:type="character" w:customStyle="1" w:styleId="WW8Num23z1">
    <w:name w:val="WW8Num23z1"/>
    <w:rsid w:val="00CA1321"/>
    <w:rPr>
      <w:rFonts w:ascii="OpenSymbol" w:hAnsi="OpenSymbol" w:cs="OpenSymbol"/>
    </w:rPr>
  </w:style>
  <w:style w:type="character" w:customStyle="1" w:styleId="WW8Num25z0">
    <w:name w:val="WW8Num25z0"/>
    <w:rsid w:val="00CA1321"/>
    <w:rPr>
      <w:rFonts w:ascii="Symbol" w:hAnsi="Symbol" w:cs="OpenSymbol"/>
    </w:rPr>
  </w:style>
  <w:style w:type="character" w:customStyle="1" w:styleId="WW8Num26z0">
    <w:name w:val="WW8Num26z0"/>
    <w:rsid w:val="00CA1321"/>
    <w:rPr>
      <w:rFonts w:ascii="Symbol" w:hAnsi="Symbol" w:cs="OpenSymbol"/>
    </w:rPr>
  </w:style>
  <w:style w:type="character" w:customStyle="1" w:styleId="WW8Num26z1">
    <w:name w:val="WW8Num26z1"/>
    <w:rsid w:val="00CA1321"/>
    <w:rPr>
      <w:rFonts w:ascii="OpenSymbol" w:hAnsi="OpenSymbol" w:cs="OpenSymbol"/>
    </w:rPr>
  </w:style>
  <w:style w:type="character" w:customStyle="1" w:styleId="WW8Num27z0">
    <w:name w:val="WW8Num27z0"/>
    <w:rsid w:val="00CA1321"/>
    <w:rPr>
      <w:rFonts w:ascii="Symbol" w:hAnsi="Symbol" w:cs="OpenSymbol"/>
    </w:rPr>
  </w:style>
  <w:style w:type="character" w:customStyle="1" w:styleId="WW8Num27z1">
    <w:name w:val="WW8Num27z1"/>
    <w:rsid w:val="00CA1321"/>
    <w:rPr>
      <w:rFonts w:ascii="OpenSymbol" w:hAnsi="OpenSymbol" w:cs="OpenSymbol"/>
    </w:rPr>
  </w:style>
  <w:style w:type="character" w:customStyle="1" w:styleId="WW8Num28z0">
    <w:name w:val="WW8Num28z0"/>
    <w:rsid w:val="00CA1321"/>
    <w:rPr>
      <w:rFonts w:ascii="Symbol" w:hAnsi="Symbol" w:cs="OpenSymbol"/>
    </w:rPr>
  </w:style>
  <w:style w:type="character" w:customStyle="1" w:styleId="WW8Num30z0">
    <w:name w:val="WW8Num30z0"/>
    <w:rsid w:val="00CA1321"/>
    <w:rPr>
      <w:rFonts w:ascii="Symbol" w:hAnsi="Symbol" w:cs="OpenSymbol"/>
    </w:rPr>
  </w:style>
  <w:style w:type="character" w:customStyle="1" w:styleId="WW8Num30z1">
    <w:name w:val="WW8Num30z1"/>
    <w:rsid w:val="00CA1321"/>
    <w:rPr>
      <w:rFonts w:ascii="OpenSymbol" w:hAnsi="OpenSymbol" w:cs="OpenSymbol"/>
    </w:rPr>
  </w:style>
  <w:style w:type="character" w:customStyle="1" w:styleId="WW8Num12z2">
    <w:name w:val="WW8Num12z2"/>
    <w:rsid w:val="00CA1321"/>
    <w:rPr>
      <w:rFonts w:ascii="Wingdings" w:hAnsi="Wingdings" w:cs="Wingdings"/>
    </w:rPr>
  </w:style>
  <w:style w:type="character" w:customStyle="1" w:styleId="WW8Num13z2">
    <w:name w:val="WW8Num13z2"/>
    <w:rsid w:val="00CA1321"/>
    <w:rPr>
      <w:rFonts w:ascii="Wingdings" w:hAnsi="Wingdings" w:cs="Wingdings"/>
    </w:rPr>
  </w:style>
  <w:style w:type="character" w:customStyle="1" w:styleId="WW8Num15z2">
    <w:name w:val="WW8Num15z2"/>
    <w:rsid w:val="00CA1321"/>
    <w:rPr>
      <w:rFonts w:ascii="Wingdings" w:hAnsi="Wingdings" w:cs="Wingdings"/>
    </w:rPr>
  </w:style>
  <w:style w:type="character" w:customStyle="1" w:styleId="WW8Num15z3">
    <w:name w:val="WW8Num15z3"/>
    <w:rsid w:val="00CA1321"/>
    <w:rPr>
      <w:rFonts w:ascii="Symbol" w:hAnsi="Symbol" w:cs="Symbol"/>
    </w:rPr>
  </w:style>
  <w:style w:type="character" w:customStyle="1" w:styleId="WW8Num16z0">
    <w:name w:val="WW8Num16z0"/>
    <w:rsid w:val="00CA1321"/>
    <w:rPr>
      <w:rFonts w:ascii="Symbol" w:hAnsi="Symbol" w:cs="Symbol"/>
    </w:rPr>
  </w:style>
  <w:style w:type="character" w:customStyle="1" w:styleId="WW8Num16z1">
    <w:name w:val="WW8Num16z1"/>
    <w:rsid w:val="00CA1321"/>
    <w:rPr>
      <w:rFonts w:ascii="Courier New" w:hAnsi="Courier New" w:cs="Courier New"/>
    </w:rPr>
  </w:style>
  <w:style w:type="character" w:customStyle="1" w:styleId="WW8Num16z2">
    <w:name w:val="WW8Num16z2"/>
    <w:rsid w:val="00CA1321"/>
    <w:rPr>
      <w:rFonts w:ascii="Wingdings" w:hAnsi="Wingdings" w:cs="Wingdings"/>
    </w:rPr>
  </w:style>
  <w:style w:type="character" w:customStyle="1" w:styleId="WW8Num16z3">
    <w:name w:val="WW8Num16z3"/>
    <w:rsid w:val="00CA1321"/>
    <w:rPr>
      <w:rFonts w:ascii="Symbol" w:hAnsi="Symbol" w:cs="Symbol"/>
    </w:rPr>
  </w:style>
  <w:style w:type="character" w:customStyle="1" w:styleId="WW8Num17z0">
    <w:name w:val="WW8Num17z0"/>
    <w:rsid w:val="00CA1321"/>
    <w:rPr>
      <w:rFonts w:ascii="Symbol" w:hAnsi="Symbol" w:cs="OpenSymbol"/>
    </w:rPr>
  </w:style>
  <w:style w:type="character" w:customStyle="1" w:styleId="WW8Num18z1">
    <w:name w:val="WW8Num18z1"/>
    <w:rsid w:val="00CA1321"/>
    <w:rPr>
      <w:rFonts w:ascii="OpenSymbol" w:hAnsi="OpenSymbol" w:cs="OpenSymbol"/>
    </w:rPr>
  </w:style>
  <w:style w:type="character" w:customStyle="1" w:styleId="WW8Num19z1">
    <w:name w:val="WW8Num19z1"/>
    <w:rsid w:val="00CA1321"/>
    <w:rPr>
      <w:rFonts w:ascii="OpenSymbol" w:hAnsi="OpenSymbol" w:cs="OpenSymbol"/>
    </w:rPr>
  </w:style>
  <w:style w:type="character" w:customStyle="1" w:styleId="WW8Num28z1">
    <w:name w:val="WW8Num28z1"/>
    <w:rsid w:val="00CA1321"/>
    <w:rPr>
      <w:rFonts w:ascii="OpenSymbol" w:hAnsi="OpenSymbol" w:cs="OpenSymbol"/>
    </w:rPr>
  </w:style>
  <w:style w:type="character" w:customStyle="1" w:styleId="WW8Num29z0">
    <w:name w:val="WW8Num29z0"/>
    <w:rsid w:val="00CA1321"/>
    <w:rPr>
      <w:rFonts w:ascii="Symbol" w:hAnsi="Symbol" w:cs="OpenSymbol"/>
    </w:rPr>
  </w:style>
  <w:style w:type="character" w:customStyle="1" w:styleId="WW8Num31z0">
    <w:name w:val="WW8Num31z0"/>
    <w:rsid w:val="00CA1321"/>
    <w:rPr>
      <w:rFonts w:ascii="Symbol" w:hAnsi="Symbol" w:cs="OpenSymbol"/>
    </w:rPr>
  </w:style>
  <w:style w:type="character" w:customStyle="1" w:styleId="WW8Num31z1">
    <w:name w:val="WW8Num31z1"/>
    <w:rsid w:val="00CA1321"/>
    <w:rPr>
      <w:rFonts w:ascii="OpenSymbol" w:hAnsi="OpenSymbol" w:cs="OpenSymbol"/>
    </w:rPr>
  </w:style>
  <w:style w:type="character" w:customStyle="1" w:styleId="WW8Num32z0">
    <w:name w:val="WW8Num32z0"/>
    <w:rsid w:val="00CA1321"/>
    <w:rPr>
      <w:rFonts w:ascii="Symbol" w:hAnsi="Symbol" w:cs="OpenSymbol"/>
    </w:rPr>
  </w:style>
  <w:style w:type="character" w:customStyle="1" w:styleId="WW8Num32z1">
    <w:name w:val="WW8Num32z1"/>
    <w:rsid w:val="00CA1321"/>
    <w:rPr>
      <w:rFonts w:ascii="OpenSymbol" w:hAnsi="OpenSymbol" w:cs="OpenSymbol"/>
    </w:rPr>
  </w:style>
  <w:style w:type="character" w:customStyle="1" w:styleId="WW8Num33z0">
    <w:name w:val="WW8Num33z0"/>
    <w:rsid w:val="00CA1321"/>
    <w:rPr>
      <w:rFonts w:ascii="Symbol" w:hAnsi="Symbol" w:cs="OpenSymbol"/>
    </w:rPr>
  </w:style>
  <w:style w:type="character" w:customStyle="1" w:styleId="WW8Num33z1">
    <w:name w:val="WW8Num33z1"/>
    <w:rsid w:val="00CA1321"/>
    <w:rPr>
      <w:rFonts w:ascii="OpenSymbol" w:hAnsi="OpenSymbol" w:cs="OpenSymbol"/>
    </w:rPr>
  </w:style>
  <w:style w:type="character" w:customStyle="1" w:styleId="WW8Num34z0">
    <w:name w:val="WW8Num34z0"/>
    <w:rsid w:val="00CA1321"/>
    <w:rPr>
      <w:rFonts w:ascii="Symbol" w:hAnsi="Symbol" w:cs="OpenSymbol"/>
    </w:rPr>
  </w:style>
  <w:style w:type="character" w:customStyle="1" w:styleId="FootnoteReference1">
    <w:name w:val="Footnote Reference1"/>
    <w:rsid w:val="00CA1321"/>
    <w:rPr>
      <w:vertAlign w:val="superscript"/>
    </w:rPr>
  </w:style>
  <w:style w:type="character" w:customStyle="1" w:styleId="CommentReference1">
    <w:name w:val="Comment Reference1"/>
    <w:rsid w:val="00CA1321"/>
    <w:rPr>
      <w:sz w:val="16"/>
      <w:szCs w:val="16"/>
    </w:rPr>
  </w:style>
  <w:style w:type="character" w:customStyle="1" w:styleId="ListLabel1">
    <w:name w:val="ListLabel 1"/>
    <w:rsid w:val="00CA1321"/>
    <w:rPr>
      <w:b w:val="0"/>
      <w:bCs w:val="0"/>
      <w:i w:val="0"/>
      <w:iCs w:val="0"/>
    </w:rPr>
  </w:style>
  <w:style w:type="character" w:customStyle="1" w:styleId="ListLabel2">
    <w:name w:val="ListLabel 2"/>
    <w:rsid w:val="00CA1321"/>
    <w:rPr>
      <w:rFonts w:cs="Symbol"/>
    </w:rPr>
  </w:style>
  <w:style w:type="character" w:customStyle="1" w:styleId="ListLabel3">
    <w:name w:val="ListLabel 3"/>
    <w:rsid w:val="00CA1321"/>
    <w:rPr>
      <w:rFonts w:cs="Courier New"/>
    </w:rPr>
  </w:style>
  <w:style w:type="character" w:customStyle="1" w:styleId="ListLabel4">
    <w:name w:val="ListLabel 4"/>
    <w:rsid w:val="00CA1321"/>
    <w:rPr>
      <w:rFonts w:cs="Wingdings"/>
    </w:rPr>
  </w:style>
  <w:style w:type="character" w:customStyle="1" w:styleId="ListLabel5">
    <w:name w:val="ListLabel 5"/>
    <w:rsid w:val="00CA1321"/>
    <w:rPr>
      <w:rFonts w:eastAsia="SimSun"/>
    </w:rPr>
  </w:style>
  <w:style w:type="character" w:customStyle="1" w:styleId="ListLabel6">
    <w:name w:val="ListLabel 6"/>
    <w:rsid w:val="00CA1321"/>
    <w:rPr>
      <w:rFonts w:eastAsia="Times New Roman"/>
    </w:rPr>
  </w:style>
  <w:style w:type="character" w:customStyle="1" w:styleId="ListLabel7">
    <w:name w:val="ListLabel 7"/>
    <w:rsid w:val="00CA1321"/>
    <w:rPr>
      <w:rFonts w:cs="Calibri"/>
    </w:rPr>
  </w:style>
  <w:style w:type="character" w:customStyle="1" w:styleId="FootnoteCharacters">
    <w:name w:val="Footnote Characters"/>
    <w:rsid w:val="00CA1321"/>
  </w:style>
  <w:style w:type="character" w:customStyle="1" w:styleId="EndnoteCharacters">
    <w:name w:val="Endnote Characters"/>
    <w:rsid w:val="00CA1321"/>
    <w:rPr>
      <w:vertAlign w:val="superscript"/>
    </w:rPr>
  </w:style>
  <w:style w:type="character" w:customStyle="1" w:styleId="WW-EndnoteCharacters">
    <w:name w:val="WW-Endnote Characters"/>
    <w:rsid w:val="00CA1321"/>
  </w:style>
  <w:style w:type="character" w:styleId="Endnotenzeichen">
    <w:name w:val="endnote reference"/>
    <w:uiPriority w:val="99"/>
    <w:rsid w:val="00CA1321"/>
    <w:rPr>
      <w:vertAlign w:val="superscript"/>
    </w:rPr>
  </w:style>
  <w:style w:type="character" w:customStyle="1" w:styleId="NumberingSymbols">
    <w:name w:val="Numbering Symbols"/>
    <w:rsid w:val="00CA1321"/>
  </w:style>
  <w:style w:type="character" w:customStyle="1" w:styleId="Bullets">
    <w:name w:val="Bullets"/>
    <w:rsid w:val="00CA1321"/>
    <w:rPr>
      <w:rFonts w:ascii="OpenSymbol" w:eastAsia="OpenSymbol" w:hAnsi="OpenSymbol" w:cs="OpenSymbol"/>
    </w:rPr>
  </w:style>
  <w:style w:type="paragraph" w:customStyle="1" w:styleId="Heading">
    <w:name w:val="Heading"/>
    <w:basedOn w:val="Standard"/>
    <w:next w:val="Textkrper"/>
    <w:rsid w:val="00CA1321"/>
    <w:pPr>
      <w:keepNext/>
      <w:spacing w:before="240" w:after="120"/>
    </w:pPr>
    <w:rPr>
      <w:rFonts w:ascii="Arial" w:eastAsia="Microsoft YaHei" w:hAnsi="Arial" w:cs="Mangal"/>
      <w:sz w:val="28"/>
      <w:szCs w:val="28"/>
      <w:lang w:val="de-DE" w:eastAsia="de-DE"/>
    </w:rPr>
  </w:style>
  <w:style w:type="paragraph" w:styleId="Textkrper">
    <w:name w:val="Body Text"/>
    <w:basedOn w:val="Standard"/>
    <w:link w:val="TextkrperZchn"/>
    <w:rsid w:val="00CA1321"/>
    <w:pPr>
      <w:spacing w:before="0" w:after="120"/>
    </w:pPr>
    <w:rPr>
      <w:rFonts w:ascii="Calibri" w:eastAsia="Calibri" w:hAnsi="Calibri" w:cs="Times New Roman"/>
      <w:lang w:val="de-DE" w:eastAsia="de-DE"/>
    </w:rPr>
  </w:style>
  <w:style w:type="character" w:customStyle="1" w:styleId="TextkrperZchn">
    <w:name w:val="Textkörper Zchn"/>
    <w:basedOn w:val="Absatz-Standardschriftart"/>
    <w:link w:val="Textkrper"/>
    <w:rsid w:val="00CA1321"/>
    <w:rPr>
      <w:rFonts w:ascii="Calibri" w:eastAsia="Calibri" w:hAnsi="Calibri" w:cs="Times New Roman"/>
      <w:lang w:eastAsia="de-DE"/>
    </w:rPr>
  </w:style>
  <w:style w:type="paragraph" w:styleId="Liste">
    <w:name w:val="List"/>
    <w:basedOn w:val="Textkrper"/>
    <w:rsid w:val="00CA1321"/>
    <w:rPr>
      <w:rFonts w:cs="Mangal"/>
    </w:rPr>
  </w:style>
  <w:style w:type="paragraph" w:customStyle="1" w:styleId="Index">
    <w:name w:val="Index"/>
    <w:basedOn w:val="Standard"/>
    <w:rsid w:val="00CA1321"/>
    <w:pPr>
      <w:suppressLineNumbers/>
    </w:pPr>
    <w:rPr>
      <w:rFonts w:ascii="Calibri" w:eastAsia="Calibri" w:hAnsi="Calibri" w:cs="Mangal"/>
      <w:lang w:val="de-DE" w:eastAsia="de-DE"/>
    </w:rPr>
  </w:style>
  <w:style w:type="paragraph" w:customStyle="1" w:styleId="Caption1">
    <w:name w:val="Caption1"/>
    <w:basedOn w:val="Standard"/>
    <w:rsid w:val="00CA1321"/>
    <w:pPr>
      <w:spacing w:before="0" w:after="200" w:line="100" w:lineRule="atLeast"/>
    </w:pPr>
    <w:rPr>
      <w:rFonts w:ascii="Calibri" w:eastAsia="Calibri" w:hAnsi="Calibri" w:cs="Times New Roman"/>
      <w:b/>
      <w:bCs/>
      <w:color w:val="5C2A59"/>
      <w:sz w:val="18"/>
      <w:szCs w:val="18"/>
      <w:lang w:val="de-DE" w:eastAsia="de-DE"/>
    </w:rPr>
  </w:style>
  <w:style w:type="paragraph" w:customStyle="1" w:styleId="ContentsHeading">
    <w:name w:val="Contents Heading"/>
    <w:basedOn w:val="berschrift1"/>
    <w:rsid w:val="00CA1321"/>
    <w:pPr>
      <w:numPr>
        <w:numId w:val="0"/>
      </w:numPr>
      <w:suppressLineNumbers/>
      <w:pBdr>
        <w:bottom w:val="none" w:sz="0" w:space="0" w:color="auto"/>
      </w:pBdr>
      <w:shd w:val="clear" w:color="auto" w:fill="FFFFFF"/>
      <w:jc w:val="left"/>
    </w:pPr>
    <w:rPr>
      <w:rFonts w:ascii="Cambria" w:eastAsia="Times New Roman" w:hAnsi="Cambria" w:cs="Cambria"/>
      <w:b/>
      <w:color w:val="DAB551"/>
      <w:sz w:val="28"/>
      <w:szCs w:val="32"/>
      <w:lang w:val="de-DE" w:eastAsia="de-DE"/>
    </w:rPr>
  </w:style>
  <w:style w:type="paragraph" w:customStyle="1" w:styleId="FootnoteText1">
    <w:name w:val="Footnote Text1"/>
    <w:basedOn w:val="Standard"/>
    <w:rsid w:val="00CA1321"/>
    <w:rPr>
      <w:rFonts w:ascii="Calibri" w:eastAsia="Calibri" w:hAnsi="Calibri" w:cs="Times New Roman"/>
      <w:sz w:val="20"/>
      <w:szCs w:val="20"/>
      <w:lang w:val="de-DE" w:eastAsia="de-DE"/>
    </w:rPr>
  </w:style>
  <w:style w:type="paragraph" w:customStyle="1" w:styleId="CommentText1">
    <w:name w:val="Comment Text1"/>
    <w:basedOn w:val="Standard"/>
    <w:rsid w:val="00CA1321"/>
    <w:rPr>
      <w:rFonts w:ascii="Calibri" w:eastAsia="Calibri" w:hAnsi="Calibri" w:cs="Times New Roman"/>
      <w:sz w:val="20"/>
      <w:szCs w:val="20"/>
      <w:lang w:val="de-DE" w:eastAsia="de-DE"/>
    </w:rPr>
  </w:style>
  <w:style w:type="paragraph" w:customStyle="1" w:styleId="CommentSubject1">
    <w:name w:val="Comment Subject1"/>
    <w:basedOn w:val="CommentText1"/>
    <w:rsid w:val="00CA1321"/>
    <w:pPr>
      <w:spacing w:line="100" w:lineRule="atLeast"/>
    </w:pPr>
    <w:rPr>
      <w:b/>
      <w:bCs/>
    </w:rPr>
  </w:style>
  <w:style w:type="paragraph" w:customStyle="1" w:styleId="TableofFigures1">
    <w:name w:val="Table of Figures1"/>
    <w:basedOn w:val="Standard"/>
    <w:rsid w:val="00CA1321"/>
    <w:rPr>
      <w:rFonts w:ascii="Calibri" w:eastAsia="Calibri" w:hAnsi="Calibri" w:cs="Times New Roman"/>
      <w:lang w:val="de-DE" w:eastAsia="de-DE"/>
    </w:rPr>
  </w:style>
  <w:style w:type="paragraph" w:customStyle="1" w:styleId="Index11">
    <w:name w:val="Index 11"/>
    <w:basedOn w:val="Standard"/>
    <w:rsid w:val="00CA1321"/>
    <w:pPr>
      <w:spacing w:before="0" w:after="0" w:line="100" w:lineRule="atLeast"/>
      <w:ind w:left="220" w:hanging="220"/>
    </w:pPr>
    <w:rPr>
      <w:rFonts w:ascii="Calibri" w:eastAsia="Calibri" w:hAnsi="Calibri" w:cs="Times New Roman"/>
      <w:lang w:val="de-DE" w:eastAsia="de-DE"/>
    </w:rPr>
  </w:style>
  <w:style w:type="paragraph" w:customStyle="1" w:styleId="TableContents">
    <w:name w:val="Table Contents"/>
    <w:basedOn w:val="Standard"/>
    <w:rsid w:val="00CA1321"/>
    <w:pPr>
      <w:suppressLineNumbers/>
    </w:pPr>
    <w:rPr>
      <w:rFonts w:ascii="Calibri" w:eastAsia="Calibri" w:hAnsi="Calibri" w:cs="Times New Roman"/>
      <w:lang w:val="de-DE" w:eastAsia="de-DE"/>
    </w:rPr>
  </w:style>
  <w:style w:type="paragraph" w:customStyle="1" w:styleId="TableHeading">
    <w:name w:val="Table Heading"/>
    <w:basedOn w:val="TableContents"/>
    <w:rsid w:val="00CA1321"/>
    <w:pPr>
      <w:jc w:val="center"/>
    </w:pPr>
    <w:rPr>
      <w:b/>
      <w:bCs/>
    </w:rPr>
  </w:style>
  <w:style w:type="paragraph" w:customStyle="1" w:styleId="Contents10">
    <w:name w:val="Contents 10"/>
    <w:basedOn w:val="Index"/>
    <w:rsid w:val="00CA1321"/>
    <w:pPr>
      <w:tabs>
        <w:tab w:val="right" w:leader="dot" w:pos="7091"/>
      </w:tabs>
      <w:ind w:left="2547"/>
    </w:pPr>
  </w:style>
  <w:style w:type="character" w:customStyle="1" w:styleId="berschrift2Zchn1">
    <w:name w:val="Überschrift 2 Zchn1"/>
    <w:uiPriority w:val="9"/>
    <w:locked/>
    <w:rsid w:val="00CA1321"/>
    <w:rPr>
      <w:rFonts w:cs="font402"/>
      <w:bCs/>
      <w:color w:val="5C2A59"/>
      <w:sz w:val="28"/>
      <w:szCs w:val="26"/>
    </w:rPr>
  </w:style>
  <w:style w:type="character" w:customStyle="1" w:styleId="berschrift1Zchn1">
    <w:name w:val="Überschrift 1 Zchn1"/>
    <w:uiPriority w:val="9"/>
    <w:locked/>
    <w:rsid w:val="00CA1321"/>
    <w:rPr>
      <w:rFonts w:ascii="Century Gothic" w:eastAsia="SimSun" w:hAnsi="Century Gothic" w:cs="font402"/>
      <w:bCs/>
      <w:color w:val="5C2A59"/>
      <w:kern w:val="1"/>
      <w:sz w:val="40"/>
      <w:szCs w:val="28"/>
      <w:shd w:val="clear" w:color="auto" w:fill="FAF5E6"/>
      <w:lang w:eastAsia="ar-SA"/>
    </w:rPr>
  </w:style>
  <w:style w:type="table" w:styleId="HelleSchattierung">
    <w:name w:val="Light Shading"/>
    <w:basedOn w:val="NormaleTabelle"/>
    <w:uiPriority w:val="60"/>
    <w:rsid w:val="00CA1321"/>
    <w:pPr>
      <w:spacing w:after="0" w:line="240" w:lineRule="auto"/>
    </w:pPr>
    <w:rPr>
      <w:color w:val="000000" w:themeColor="text1" w:themeShade="BF"/>
      <w:lang w:val="en-US" w:eastAsia="zh-CN"/>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focusparagraph">
    <w:name w:val="focusparagraph"/>
    <w:basedOn w:val="Absatz-Standardschriftart"/>
    <w:rsid w:val="00CA1321"/>
  </w:style>
  <w:style w:type="paragraph" w:customStyle="1" w:styleId="DefaultText">
    <w:name w:val="Default Text"/>
    <w:basedOn w:val="Standard"/>
    <w:link w:val="DefaultTextChar"/>
    <w:rsid w:val="00CA1321"/>
    <w:pPr>
      <w:spacing w:before="0" w:after="0" w:line="280" w:lineRule="atLeast"/>
      <w:jc w:val="left"/>
    </w:pPr>
    <w:rPr>
      <w:rFonts w:ascii="Arial" w:eastAsia="Times New Roman" w:hAnsi="Arial" w:cs="Times New Roman"/>
      <w:sz w:val="18"/>
      <w:szCs w:val="24"/>
      <w:lang w:val="nl-NL" w:eastAsia="nl-NL"/>
    </w:rPr>
  </w:style>
  <w:style w:type="character" w:customStyle="1" w:styleId="DefaultTextChar">
    <w:name w:val="Default Text Char"/>
    <w:basedOn w:val="Absatz-Standardschriftart"/>
    <w:link w:val="DefaultText"/>
    <w:rsid w:val="00CA1321"/>
    <w:rPr>
      <w:rFonts w:ascii="Arial" w:eastAsia="Times New Roman" w:hAnsi="Arial" w:cs="Times New Roman"/>
      <w:sz w:val="18"/>
      <w:szCs w:val="24"/>
      <w:lang w:val="nl-NL" w:eastAsia="nl-NL"/>
    </w:rPr>
  </w:style>
  <w:style w:type="table" w:customStyle="1" w:styleId="table-style-blauw-100-outline">
    <w:name w:val="table-style-blauw-100-outline"/>
    <w:basedOn w:val="NormaleTabelle"/>
    <w:rsid w:val="00CA1321"/>
    <w:pPr>
      <w:spacing w:after="0"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customStyle="1" w:styleId="table-text">
    <w:name w:val="table-text"/>
    <w:basedOn w:val="DefaultText"/>
    <w:rsid w:val="00CA1321"/>
    <w:rPr>
      <w:sz w:val="16"/>
    </w:rPr>
  </w:style>
  <w:style w:type="character" w:customStyle="1" w:styleId="filesize1">
    <w:name w:val="filesize1"/>
    <w:basedOn w:val="Absatz-Standardschriftart"/>
    <w:rsid w:val="00CA1321"/>
    <w:rPr>
      <w:rFonts w:ascii="Arial" w:hAnsi="Arial" w:cs="Arial" w:hint="default"/>
      <w:color w:val="000000"/>
      <w:sz w:val="17"/>
      <w:szCs w:val="17"/>
    </w:rPr>
  </w:style>
  <w:style w:type="character" w:customStyle="1" w:styleId="yiv0151803112">
    <w:name w:val="yiv0151803112"/>
    <w:basedOn w:val="Absatz-Standardschriftart"/>
    <w:rsid w:val="00CA1321"/>
  </w:style>
  <w:style w:type="character" w:customStyle="1" w:styleId="yiv2167158836">
    <w:name w:val="yiv2167158836"/>
    <w:basedOn w:val="Absatz-Standardschriftart"/>
    <w:rsid w:val="00CA1321"/>
  </w:style>
  <w:style w:type="character" w:customStyle="1" w:styleId="WW8Num17z1">
    <w:name w:val="WW8Num17z1"/>
    <w:rsid w:val="00CA1321"/>
    <w:rPr>
      <w:rFonts w:ascii="OpenSymbol" w:hAnsi="OpenSymbol" w:cs="OpenSymbol"/>
    </w:rPr>
  </w:style>
  <w:style w:type="character" w:customStyle="1" w:styleId="WW8Num14z2">
    <w:name w:val="WW8Num14z2"/>
    <w:rsid w:val="00CA1321"/>
    <w:rPr>
      <w:rFonts w:ascii="Wingdings" w:hAnsi="Wingdings" w:cs="Wingdings"/>
    </w:rPr>
  </w:style>
  <w:style w:type="character" w:customStyle="1" w:styleId="WW8Num17z2">
    <w:name w:val="WW8Num17z2"/>
    <w:rsid w:val="00CA1321"/>
    <w:rPr>
      <w:rFonts w:ascii="Wingdings" w:hAnsi="Wingdings" w:cs="Wingdings"/>
    </w:rPr>
  </w:style>
  <w:style w:type="character" w:customStyle="1" w:styleId="WW8Num17z3">
    <w:name w:val="WW8Num17z3"/>
    <w:rsid w:val="00CA1321"/>
    <w:rPr>
      <w:rFonts w:ascii="Symbol" w:hAnsi="Symbol" w:cs="Symbol"/>
    </w:rPr>
  </w:style>
  <w:style w:type="character" w:customStyle="1" w:styleId="WW8Num25z1">
    <w:name w:val="WW8Num25z1"/>
    <w:rsid w:val="00CA1321"/>
    <w:rPr>
      <w:rFonts w:ascii="OpenSymbol" w:hAnsi="OpenSymbol" w:cs="OpenSymbol"/>
    </w:rPr>
  </w:style>
  <w:style w:type="paragraph" w:customStyle="1" w:styleId="Heading10">
    <w:name w:val="Heading 10"/>
    <w:basedOn w:val="Heading"/>
    <w:next w:val="Textkrper"/>
    <w:rsid w:val="00CA1321"/>
    <w:pPr>
      <w:numPr>
        <w:numId w:val="9"/>
      </w:numPr>
    </w:pPr>
    <w:rPr>
      <w:b/>
      <w:bCs/>
      <w:sz w:val="21"/>
      <w:szCs w:val="21"/>
    </w:rPr>
  </w:style>
  <w:style w:type="character" w:customStyle="1" w:styleId="KommentartextZchn1">
    <w:name w:val="Kommentartext Zchn1"/>
    <w:basedOn w:val="Absatz-Standardschriftart"/>
    <w:uiPriority w:val="99"/>
    <w:semiHidden/>
    <w:rsid w:val="00CA1321"/>
  </w:style>
  <w:style w:type="character" w:customStyle="1" w:styleId="KommentarthemaZchn1">
    <w:name w:val="Kommentarthema Zchn1"/>
    <w:basedOn w:val="KommentartextZchn1"/>
    <w:uiPriority w:val="99"/>
    <w:semiHidden/>
    <w:rsid w:val="00CA1321"/>
    <w:rPr>
      <w:b/>
      <w:bCs/>
    </w:rPr>
  </w:style>
  <w:style w:type="table" w:styleId="MittlereSchattierung2-Akzent5">
    <w:name w:val="Medium Shading 2 Accent 5"/>
    <w:basedOn w:val="NormaleTabelle"/>
    <w:uiPriority w:val="64"/>
    <w:rsid w:val="00CA1321"/>
    <w:pPr>
      <w:spacing w:after="200" w:line="276"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Raster3-Akzent1">
    <w:name w:val="Medium Grid 3 Accent 1"/>
    <w:basedOn w:val="NormaleTabelle"/>
    <w:uiPriority w:val="69"/>
    <w:rsid w:val="00CA1321"/>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ittleresRaster3-Akzent5">
    <w:name w:val="Medium Grid 3 Accent 5"/>
    <w:basedOn w:val="NormaleTabelle"/>
    <w:uiPriority w:val="69"/>
    <w:rsid w:val="00CA1321"/>
    <w:pPr>
      <w:spacing w:after="200" w:line="276" w:lineRule="auto"/>
    </w:pPr>
    <w:rPr>
      <w:lang w:val="en-US" w:eastAsia="zh-C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ittlereListe1-Akzent5">
    <w:name w:val="Medium List 1 Accent 5"/>
    <w:basedOn w:val="NormaleTabelle"/>
    <w:uiPriority w:val="65"/>
    <w:rsid w:val="00CA1321"/>
    <w:pPr>
      <w:spacing w:after="200" w:line="276" w:lineRule="auto"/>
    </w:pPr>
    <w:rPr>
      <w:color w:val="000000" w:themeColor="text1"/>
      <w:lang w:val="en-US" w:eastAsia="zh-CN"/>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character" w:customStyle="1" w:styleId="l6">
    <w:name w:val="l6"/>
    <w:basedOn w:val="Absatz-Standardschriftart"/>
    <w:rsid w:val="00CA1321"/>
  </w:style>
  <w:style w:type="character" w:customStyle="1" w:styleId="l7">
    <w:name w:val="l7"/>
    <w:basedOn w:val="Absatz-Standardschriftart"/>
    <w:rsid w:val="00CA1321"/>
  </w:style>
  <w:style w:type="character" w:customStyle="1" w:styleId="l8">
    <w:name w:val="l8"/>
    <w:basedOn w:val="Absatz-Standardschriftart"/>
    <w:rsid w:val="00CA1321"/>
  </w:style>
  <w:style w:type="character" w:customStyle="1" w:styleId="l9">
    <w:name w:val="l9"/>
    <w:basedOn w:val="Absatz-Standardschriftart"/>
    <w:rsid w:val="00CA1321"/>
  </w:style>
  <w:style w:type="character" w:customStyle="1" w:styleId="style3">
    <w:name w:val="style3"/>
    <w:basedOn w:val="Absatz-Standardschriftart"/>
    <w:rsid w:val="00CA1321"/>
  </w:style>
  <w:style w:type="table" w:styleId="MittlereSchattierung1-Akzent5">
    <w:name w:val="Medium Shading 1 Accent 5"/>
    <w:basedOn w:val="NormaleTabelle"/>
    <w:uiPriority w:val="63"/>
    <w:rsid w:val="00CA1321"/>
    <w:pPr>
      <w:spacing w:after="200" w:line="276" w:lineRule="auto"/>
    </w:pPr>
    <w:rPr>
      <w:lang w:val="en-US" w:eastAsia="zh-CN"/>
    </w:r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character" w:customStyle="1" w:styleId="Funotentext1">
    <w:name w:val="Fußnotentext1"/>
    <w:uiPriority w:val="1"/>
    <w:rsid w:val="00CA1321"/>
    <w:rPr>
      <w:rFonts w:ascii="Calibri" w:hAnsi="Calibri"/>
      <w:sz w:val="20"/>
      <w:szCs w:val="20"/>
    </w:rPr>
  </w:style>
  <w:style w:type="character" w:customStyle="1" w:styleId="chicklets">
    <w:name w:val="chicklets"/>
    <w:basedOn w:val="Absatz-Standardschriftart"/>
    <w:rsid w:val="00CA1321"/>
  </w:style>
  <w:style w:type="paragraph" w:customStyle="1" w:styleId="meta">
    <w:name w:val="meta"/>
    <w:basedOn w:val="Standard"/>
    <w:rsid w:val="00CA1321"/>
    <w:pPr>
      <w:spacing w:before="100" w:beforeAutospacing="1" w:after="100" w:afterAutospacing="1" w:line="240" w:lineRule="auto"/>
      <w:jc w:val="left"/>
    </w:pPr>
    <w:rPr>
      <w:rFonts w:ascii="Times" w:hAnsi="Times"/>
      <w:sz w:val="20"/>
      <w:szCs w:val="20"/>
      <w:lang w:val="en-US"/>
    </w:rPr>
  </w:style>
  <w:style w:type="paragraph" w:customStyle="1" w:styleId="question">
    <w:name w:val="question"/>
    <w:basedOn w:val="Standard"/>
    <w:rsid w:val="00CA1321"/>
    <w:pPr>
      <w:spacing w:before="100" w:beforeAutospacing="1" w:after="100" w:afterAutospacing="1" w:line="240" w:lineRule="auto"/>
      <w:jc w:val="left"/>
    </w:pPr>
    <w:rPr>
      <w:rFonts w:ascii="Times" w:hAnsi="Times"/>
      <w:sz w:val="20"/>
      <w:szCs w:val="20"/>
      <w:lang w:val="en-US"/>
    </w:rPr>
  </w:style>
  <w:style w:type="table" w:styleId="HelleListe-Akzent1">
    <w:name w:val="Light List Accent 1"/>
    <w:basedOn w:val="NormaleTabelle"/>
    <w:uiPriority w:val="61"/>
    <w:rsid w:val="00CA1321"/>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italic">
    <w:name w:val="italic"/>
    <w:basedOn w:val="Standard"/>
    <w:rsid w:val="00CA1321"/>
    <w:pPr>
      <w:spacing w:before="100" w:beforeAutospacing="1" w:after="100" w:afterAutospacing="1" w:line="240" w:lineRule="auto"/>
      <w:jc w:val="left"/>
    </w:pPr>
    <w:rPr>
      <w:rFonts w:ascii="Times" w:hAnsi="Times"/>
      <w:sz w:val="20"/>
      <w:szCs w:val="20"/>
    </w:rPr>
  </w:style>
  <w:style w:type="table" w:styleId="FarbigesRaster-Akzent5">
    <w:name w:val="Colorful Grid Accent 5"/>
    <w:basedOn w:val="NormaleTabelle"/>
    <w:uiPriority w:val="73"/>
    <w:rsid w:val="00CA1321"/>
    <w:pPr>
      <w:spacing w:after="0" w:line="240" w:lineRule="auto"/>
    </w:pPr>
    <w:rPr>
      <w:color w:val="000000" w:themeColor="text1"/>
      <w:lang w:val="en-US" w:eastAsia="zh-CN"/>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character" w:customStyle="1" w:styleId="A0">
    <w:name w:val="A0"/>
    <w:uiPriority w:val="99"/>
    <w:rsid w:val="00CA1321"/>
    <w:rPr>
      <w:rFonts w:cs="SS Excelsior"/>
      <w:color w:val="000000"/>
      <w:sz w:val="16"/>
      <w:szCs w:val="16"/>
    </w:rPr>
  </w:style>
  <w:style w:type="character" w:customStyle="1" w:styleId="A3">
    <w:name w:val="A3"/>
    <w:uiPriority w:val="99"/>
    <w:rsid w:val="00CA1321"/>
    <w:rPr>
      <w:rFonts w:cs="SS Excelsior"/>
      <w:color w:val="000000"/>
      <w:sz w:val="9"/>
      <w:szCs w:val="9"/>
    </w:rPr>
  </w:style>
  <w:style w:type="paragraph" w:customStyle="1" w:styleId="LPnavadennaslovnaslovnica">
    <w:name w:val="LP_navaden_naslov naslovnica"/>
    <w:basedOn w:val="Default"/>
    <w:next w:val="Default"/>
    <w:uiPriority w:val="99"/>
    <w:rsid w:val="00CA1321"/>
    <w:rPr>
      <w:rFonts w:ascii="Arial" w:hAnsi="Arial" w:cs="Times New Roman"/>
      <w:color w:val="auto"/>
    </w:rPr>
  </w:style>
  <w:style w:type="paragraph" w:customStyle="1" w:styleId="LP-navadenpomanjansredina">
    <w:name w:val="LP-navaden pomanj.an sredina"/>
    <w:basedOn w:val="Default"/>
    <w:next w:val="Default"/>
    <w:uiPriority w:val="99"/>
    <w:rsid w:val="00CA1321"/>
    <w:rPr>
      <w:rFonts w:ascii="Arial" w:hAnsi="Arial" w:cs="Times New Roman"/>
      <w:color w:val="auto"/>
    </w:rPr>
  </w:style>
  <w:style w:type="paragraph" w:customStyle="1" w:styleId="docfontnormal">
    <w:name w:val="docfontnormal"/>
    <w:basedOn w:val="Standard"/>
    <w:rsid w:val="00CA1321"/>
    <w:pPr>
      <w:spacing w:before="100" w:beforeAutospacing="1" w:after="100" w:afterAutospacing="1" w:line="240" w:lineRule="auto"/>
      <w:jc w:val="left"/>
    </w:pPr>
    <w:rPr>
      <w:rFonts w:ascii="Times" w:eastAsiaTheme="minorEastAsia" w:hAnsi="Times"/>
      <w:sz w:val="20"/>
      <w:szCs w:val="20"/>
    </w:rPr>
  </w:style>
  <w:style w:type="table" w:styleId="MittlereSchattierung2-Akzent1">
    <w:name w:val="Medium Shading 2 Accent 1"/>
    <w:basedOn w:val="NormaleTabelle"/>
    <w:uiPriority w:val="64"/>
    <w:rsid w:val="00CA1321"/>
    <w:pPr>
      <w:spacing w:after="0" w:line="240" w:lineRule="auto"/>
    </w:pPr>
    <w:rPr>
      <w:lang w:val="en-US" w:eastAsia="zh-CN"/>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ZnakZnak1CharCharZnakZnakCharChar">
    <w:name w:val="Znak Znak1 Char Char Znak Znak Char Char"/>
    <w:basedOn w:val="Standard"/>
    <w:rsid w:val="00CA1321"/>
    <w:pPr>
      <w:spacing w:before="0" w:after="160" w:line="240" w:lineRule="exact"/>
      <w:jc w:val="left"/>
    </w:pPr>
    <w:rPr>
      <w:rFonts w:ascii="Tahoma" w:eastAsia="Times New Roman" w:hAnsi="Tahoma" w:cs="Times New Roman"/>
      <w:sz w:val="20"/>
      <w:szCs w:val="20"/>
      <w:lang w:val="sl-SI"/>
    </w:rPr>
  </w:style>
  <w:style w:type="paragraph" w:styleId="Textkrper3">
    <w:name w:val="Body Text 3"/>
    <w:basedOn w:val="Standard"/>
    <w:link w:val="Textkrper3Zchn"/>
    <w:rsid w:val="00CA1321"/>
    <w:pPr>
      <w:spacing w:before="0" w:after="0" w:line="240" w:lineRule="auto"/>
      <w:jc w:val="left"/>
    </w:pPr>
    <w:rPr>
      <w:rFonts w:ascii="Arial" w:eastAsia="Times New Roman" w:hAnsi="Arial" w:cs="Arial"/>
      <w:szCs w:val="24"/>
      <w:lang w:val="sl-SI"/>
    </w:rPr>
  </w:style>
  <w:style w:type="character" w:customStyle="1" w:styleId="Textkrper3Zchn">
    <w:name w:val="Textkörper 3 Zchn"/>
    <w:basedOn w:val="Absatz-Standardschriftart"/>
    <w:link w:val="Textkrper3"/>
    <w:rsid w:val="00CA1321"/>
    <w:rPr>
      <w:rFonts w:ascii="Arial" w:eastAsia="Times New Roman" w:hAnsi="Arial" w:cs="Arial"/>
      <w:szCs w:val="24"/>
      <w:lang w:val="sl-SI"/>
    </w:rPr>
  </w:style>
  <w:style w:type="table" w:styleId="HelleSchattierung-Akzent5">
    <w:name w:val="Light Shading Accent 5"/>
    <w:basedOn w:val="NormaleTabelle"/>
    <w:uiPriority w:val="60"/>
    <w:rsid w:val="00CA1321"/>
    <w:pPr>
      <w:spacing w:after="0" w:line="240" w:lineRule="auto"/>
    </w:pPr>
    <w:rPr>
      <w:color w:val="2E74B5" w:themeColor="accent5" w:themeShade="BF"/>
      <w:lang w:val="en-US" w:eastAsia="zh-CN"/>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character" w:customStyle="1" w:styleId="addmd">
    <w:name w:val="addmd"/>
    <w:basedOn w:val="Absatz-Standardschriftart"/>
    <w:rsid w:val="00CA1321"/>
  </w:style>
  <w:style w:type="paragraph" w:customStyle="1" w:styleId="style4">
    <w:name w:val="style4"/>
    <w:basedOn w:val="Standard"/>
    <w:rsid w:val="00CA1321"/>
    <w:pPr>
      <w:spacing w:before="100" w:beforeAutospacing="1" w:after="100" w:afterAutospacing="1" w:line="240" w:lineRule="auto"/>
      <w:jc w:val="left"/>
    </w:pPr>
    <w:rPr>
      <w:rFonts w:ascii="Times" w:hAnsi="Times"/>
      <w:sz w:val="20"/>
      <w:szCs w:val="20"/>
    </w:rPr>
  </w:style>
  <w:style w:type="table" w:styleId="HelleListe-Akzent2">
    <w:name w:val="Light List Accent 2"/>
    <w:basedOn w:val="NormaleTabelle"/>
    <w:uiPriority w:val="61"/>
    <w:rsid w:val="00CA1321"/>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customStyle="1" w:styleId="bodycopy">
    <w:name w:val="bodycopy"/>
    <w:basedOn w:val="Absatz-Standardschriftart"/>
    <w:rsid w:val="00CA1321"/>
  </w:style>
  <w:style w:type="table" w:styleId="HellesRaster">
    <w:name w:val="Light Grid"/>
    <w:basedOn w:val="NormaleTabelle"/>
    <w:uiPriority w:val="62"/>
    <w:rsid w:val="00CA1321"/>
    <w:pPr>
      <w:spacing w:after="0" w:line="240" w:lineRule="auto"/>
    </w:pPr>
    <w:rPr>
      <w:lang w:val="en-US" w:eastAsia="zh-CN"/>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sRaster-Akzent6">
    <w:name w:val="Light Grid Accent 6"/>
    <w:basedOn w:val="NormaleTabelle"/>
    <w:uiPriority w:val="62"/>
    <w:rsid w:val="00CA1321"/>
    <w:pPr>
      <w:spacing w:after="0" w:line="240" w:lineRule="auto"/>
    </w:pPr>
    <w:rPr>
      <w:lang w:val="en-US" w:eastAsia="zh-CN"/>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HelleListe-Akzent3">
    <w:name w:val="Light List Accent 3"/>
    <w:basedOn w:val="NormaleTabelle"/>
    <w:uiPriority w:val="61"/>
    <w:rsid w:val="00CA1321"/>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HellesRaster-Akzent3">
    <w:name w:val="Light Grid Accent 3"/>
    <w:basedOn w:val="NormaleTabelle"/>
    <w:uiPriority w:val="62"/>
    <w:rsid w:val="00CA1321"/>
    <w:pPr>
      <w:spacing w:after="0" w:line="240" w:lineRule="auto"/>
    </w:pPr>
    <w:rPr>
      <w:lang w:val="en-US"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HellesRaster-Akzent1">
    <w:name w:val="Light Grid Accent 1"/>
    <w:basedOn w:val="NormaleTabelle"/>
    <w:uiPriority w:val="62"/>
    <w:rsid w:val="00CA1321"/>
    <w:pPr>
      <w:spacing w:after="0" w:line="240" w:lineRule="auto"/>
    </w:pPr>
    <w:rPr>
      <w:lang w:val="en-US" w:eastAsia="zh-CN"/>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HellesRaster-Akzent2">
    <w:name w:val="Light Grid Accent 2"/>
    <w:basedOn w:val="NormaleTabelle"/>
    <w:uiPriority w:val="62"/>
    <w:rsid w:val="00CA1321"/>
    <w:pPr>
      <w:spacing w:after="0" w:line="240" w:lineRule="auto"/>
    </w:pPr>
    <w:rPr>
      <w:lang w:val="en-US" w:eastAsia="zh-CN"/>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HellesRaster-Akzent4">
    <w:name w:val="Light Grid Accent 4"/>
    <w:basedOn w:val="NormaleTabelle"/>
    <w:uiPriority w:val="62"/>
    <w:rsid w:val="00CA1321"/>
    <w:pPr>
      <w:spacing w:after="0" w:line="240" w:lineRule="auto"/>
    </w:pPr>
    <w:rPr>
      <w:lang w:val="en-US" w:eastAsia="zh-CN"/>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character" w:customStyle="1" w:styleId="poznppMVChar">
    <w:name w:val="poznppMV Char"/>
    <w:aliases w:val="Footnote Text Char1 Char1 Char,Footnote Text Char Char Char Char,Footnote Text Char1 Char Char Char Char Char,Footnote Text Char Char Char Char Char Char Char,Footnote Text Char1 Char Char Char"/>
    <w:rsid w:val="00CA1321"/>
    <w:rPr>
      <w:lang w:val="en-US" w:eastAsia="en-US" w:bidi="ar-SA"/>
    </w:rPr>
  </w:style>
  <w:style w:type="character" w:customStyle="1" w:styleId="FootnoteTextCharCharCharChar1">
    <w:name w:val="Footnote Text Char Char Char Char1"/>
    <w:aliases w:val="Footnote Text Char Char Char2,Fußnote Char1,single space Char1,fn Char1,FOOTNOTES Char1,Footnote Text Char1 Char1,Footnote Text Char2 Char Char1,Footnote Text Char1 Char Char Char1,ft Cha Char"/>
    <w:basedOn w:val="Absatz-Standardschriftart"/>
    <w:uiPriority w:val="99"/>
    <w:locked/>
    <w:rsid w:val="00CA1321"/>
    <w:rPr>
      <w:rFonts w:cs="Times New Roman"/>
      <w:lang w:val="sr-Latn-CS" w:eastAsia="en-US" w:bidi="ar-SA"/>
    </w:rPr>
  </w:style>
  <w:style w:type="paragraph" w:customStyle="1" w:styleId="Pa2">
    <w:name w:val="Pa2"/>
    <w:basedOn w:val="Default"/>
    <w:next w:val="Default"/>
    <w:uiPriority w:val="99"/>
    <w:rsid w:val="00CA1321"/>
    <w:pPr>
      <w:spacing w:after="200" w:line="221" w:lineRule="atLeast"/>
    </w:pPr>
    <w:rPr>
      <w:rFonts w:ascii="CaslonOldFace BT" w:hAnsi="CaslonOldFace BT" w:cstheme="minorBidi"/>
      <w:color w:val="auto"/>
    </w:rPr>
  </w:style>
  <w:style w:type="character" w:customStyle="1" w:styleId="style951">
    <w:name w:val="style951"/>
    <w:basedOn w:val="Absatz-Standardschriftart"/>
    <w:uiPriority w:val="99"/>
    <w:rsid w:val="00CA1321"/>
    <w:rPr>
      <w:rFonts w:cs="Times New Roman"/>
      <w:color w:val="996600"/>
      <w:sz w:val="23"/>
      <w:szCs w:val="23"/>
    </w:rPr>
  </w:style>
  <w:style w:type="table" w:styleId="HelleListe-Akzent5">
    <w:name w:val="Light List Accent 5"/>
    <w:basedOn w:val="NormaleTabelle"/>
    <w:uiPriority w:val="61"/>
    <w:rsid w:val="00CA1321"/>
    <w:pPr>
      <w:spacing w:after="200" w:line="276" w:lineRule="auto"/>
    </w:pPr>
    <w:rPr>
      <w:lang w:val="en-US" w:eastAsia="zh-CN"/>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character" w:customStyle="1" w:styleId="style2">
    <w:name w:val="style2"/>
    <w:basedOn w:val="Absatz-Standardschriftart"/>
    <w:rsid w:val="00CA1321"/>
  </w:style>
  <w:style w:type="paragraph" w:styleId="z-Formularbeginn">
    <w:name w:val="HTML Top of Form"/>
    <w:basedOn w:val="Standard"/>
    <w:next w:val="Standard"/>
    <w:link w:val="z-FormularbeginnZchn"/>
    <w:hidden/>
    <w:uiPriority w:val="99"/>
    <w:semiHidden/>
    <w:unhideWhenUsed/>
    <w:rsid w:val="00CA1321"/>
    <w:pPr>
      <w:pBdr>
        <w:bottom w:val="single" w:sz="6" w:space="1" w:color="auto"/>
      </w:pBdr>
      <w:jc w:val="center"/>
    </w:pPr>
    <w:rPr>
      <w:rFonts w:ascii="Arial" w:hAnsi="Arial" w:cs="Arial"/>
      <w:vanish/>
      <w:sz w:val="16"/>
      <w:szCs w:val="16"/>
      <w:lang w:eastAsia="zh-CN"/>
    </w:rPr>
  </w:style>
  <w:style w:type="character" w:customStyle="1" w:styleId="z-FormularbeginnZchn">
    <w:name w:val="z-Formularbeginn Zchn"/>
    <w:basedOn w:val="Absatz-Standardschriftart"/>
    <w:link w:val="z-Formularbeginn"/>
    <w:uiPriority w:val="99"/>
    <w:semiHidden/>
    <w:rsid w:val="00CA1321"/>
    <w:rPr>
      <w:rFonts w:ascii="Arial" w:hAnsi="Arial" w:cs="Arial"/>
      <w:vanish/>
      <w:sz w:val="16"/>
      <w:szCs w:val="16"/>
      <w:lang w:val="en-GB" w:eastAsia="zh-CN"/>
    </w:rPr>
  </w:style>
  <w:style w:type="character" w:customStyle="1" w:styleId="gt-ft-text">
    <w:name w:val="gt-ft-text"/>
    <w:basedOn w:val="Absatz-Standardschriftart"/>
    <w:rsid w:val="00CA1321"/>
  </w:style>
  <w:style w:type="paragraph" w:styleId="z-Formularende">
    <w:name w:val="HTML Bottom of Form"/>
    <w:basedOn w:val="Standard"/>
    <w:next w:val="Standard"/>
    <w:link w:val="z-FormularendeZchn"/>
    <w:hidden/>
    <w:uiPriority w:val="99"/>
    <w:semiHidden/>
    <w:unhideWhenUsed/>
    <w:rsid w:val="00CA1321"/>
    <w:pPr>
      <w:pBdr>
        <w:top w:val="single" w:sz="6" w:space="1" w:color="auto"/>
      </w:pBdr>
      <w:jc w:val="center"/>
    </w:pPr>
    <w:rPr>
      <w:rFonts w:ascii="Arial" w:hAnsi="Arial" w:cs="Arial"/>
      <w:vanish/>
      <w:sz w:val="16"/>
      <w:szCs w:val="16"/>
      <w:lang w:eastAsia="zh-CN"/>
    </w:rPr>
  </w:style>
  <w:style w:type="character" w:customStyle="1" w:styleId="z-FormularendeZchn">
    <w:name w:val="z-Formularende Zchn"/>
    <w:basedOn w:val="Absatz-Standardschriftart"/>
    <w:link w:val="z-Formularende"/>
    <w:uiPriority w:val="99"/>
    <w:semiHidden/>
    <w:rsid w:val="00CA1321"/>
    <w:rPr>
      <w:rFonts w:ascii="Arial" w:hAnsi="Arial" w:cs="Arial"/>
      <w:vanish/>
      <w:sz w:val="16"/>
      <w:szCs w:val="16"/>
      <w:lang w:val="en-GB" w:eastAsia="zh-CN"/>
    </w:rPr>
  </w:style>
  <w:style w:type="paragraph" w:customStyle="1" w:styleId="a3520normal">
    <w:name w:val="a3520normal"/>
    <w:basedOn w:val="Standard"/>
    <w:rsid w:val="00CA1321"/>
    <w:pPr>
      <w:spacing w:before="100" w:beforeAutospacing="1" w:after="100" w:afterAutospacing="1" w:line="240" w:lineRule="auto"/>
      <w:jc w:val="left"/>
    </w:pPr>
    <w:rPr>
      <w:rFonts w:ascii="Times" w:hAnsi="Times"/>
      <w:sz w:val="20"/>
      <w:szCs w:val="20"/>
      <w:lang w:val="en-US"/>
    </w:rPr>
  </w:style>
  <w:style w:type="character" w:customStyle="1" w:styleId="at21">
    <w:name w:val="at21"/>
    <w:basedOn w:val="Absatz-Standardschriftart"/>
    <w:rsid w:val="00CA1321"/>
  </w:style>
  <w:style w:type="paragraph" w:customStyle="1" w:styleId="TableBody">
    <w:name w:val="Table Body"/>
    <w:rsid w:val="00CA1321"/>
    <w:pPr>
      <w:spacing w:after="0" w:line="260" w:lineRule="exact"/>
    </w:pPr>
    <w:rPr>
      <w:rFonts w:ascii="Times New Roman" w:eastAsia="Times New Roman" w:hAnsi="Times New Roman" w:cs="Times New Roman"/>
      <w:sz w:val="18"/>
      <w:szCs w:val="20"/>
      <w:lang w:val="en-US"/>
    </w:rPr>
  </w:style>
  <w:style w:type="paragraph" w:customStyle="1" w:styleId="TableHeader">
    <w:name w:val="TableHeader"/>
    <w:basedOn w:val="Standard"/>
    <w:rsid w:val="00CA1321"/>
    <w:pPr>
      <w:keepNext/>
      <w:keepLines/>
      <w:spacing w:line="240" w:lineRule="auto"/>
      <w:jc w:val="center"/>
    </w:pPr>
    <w:rPr>
      <w:rFonts w:ascii="Arial" w:eastAsia="Times New Roman" w:hAnsi="Arial" w:cs="Times New Roman"/>
      <w:b/>
      <w:noProof/>
      <w:sz w:val="20"/>
      <w:szCs w:val="20"/>
      <w:lang w:val="en-US"/>
    </w:rPr>
  </w:style>
  <w:style w:type="table" w:styleId="MittleresRaster2-Akzent1">
    <w:name w:val="Medium Grid 2 Accent 1"/>
    <w:basedOn w:val="NormaleTabelle"/>
    <w:uiPriority w:val="68"/>
    <w:rsid w:val="00CA1321"/>
    <w:pPr>
      <w:spacing w:after="0" w:line="240" w:lineRule="auto"/>
    </w:pPr>
    <w:rPr>
      <w:rFonts w:ascii="Cambria" w:eastAsia="MS Gothic" w:hAnsi="Cambria" w:cs="Times New Roman"/>
      <w:color w:val="000000"/>
      <w:sz w:val="20"/>
      <w:szCs w:val="20"/>
      <w:lang w:val="sv-SE" w:eastAsia="sv-SE"/>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character" w:customStyle="1" w:styleId="Style1">
    <w:name w:val="Style1"/>
    <w:basedOn w:val="Absatz-Standardschriftart"/>
    <w:uiPriority w:val="1"/>
    <w:rsid w:val="00CA1321"/>
    <w:rPr>
      <w:rFonts w:asciiTheme="minorHAnsi" w:hAnsiTheme="minorHAnsi"/>
      <w:sz w:val="20"/>
    </w:rPr>
  </w:style>
  <w:style w:type="character" w:customStyle="1" w:styleId="DRIVERTextbox">
    <w:name w:val="DRIVER Textbox"/>
    <w:basedOn w:val="Absatz-Standardschriftart"/>
    <w:uiPriority w:val="1"/>
    <w:rsid w:val="00CA1321"/>
    <w:rPr>
      <w:rFonts w:ascii="Century Gothic" w:hAnsi="Century Gothic"/>
      <w:sz w:val="20"/>
    </w:rPr>
  </w:style>
  <w:style w:type="character" w:customStyle="1" w:styleId="DRIVER">
    <w:name w:val="DRIVER"/>
    <w:basedOn w:val="Absatz-Standardschriftart"/>
    <w:uiPriority w:val="1"/>
    <w:rsid w:val="00CA1321"/>
    <w:rPr>
      <w:rFonts w:asciiTheme="minorHAnsi" w:hAnsiTheme="minorHAnsi"/>
      <w:sz w:val="20"/>
    </w:rPr>
  </w:style>
  <w:style w:type="paragraph" w:customStyle="1" w:styleId="StandardmitAbstandnach">
    <w:name w:val="Standard mit Abstand nach"/>
    <w:basedOn w:val="Standard"/>
    <w:qFormat/>
    <w:rsid w:val="00CA1321"/>
    <w:pPr>
      <w:spacing w:before="0" w:after="120" w:line="240" w:lineRule="auto"/>
    </w:pPr>
    <w:rPr>
      <w:rFonts w:ascii="Arial" w:eastAsia="Times New Roman" w:hAnsi="Arial" w:cs="Times New Roman"/>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image" Target="media/image4.png"/><Relationship Id="rId18" Type="http://schemas.openxmlformats.org/officeDocument/2006/relationships/hyperlink" Target="http://www.pelastustoimi.fi/" TargetMode="External"/><Relationship Id="rId26" Type="http://schemas.openxmlformats.org/officeDocument/2006/relationships/hyperlink" Target="http://www.cmcfinland.fi/" TargetMode="External"/><Relationship Id="rId39" Type="http://schemas.openxmlformats.org/officeDocument/2006/relationships/hyperlink" Target="http://www.112.fi/other_languages" TargetMode="External"/><Relationship Id="rId3" Type="http://schemas.openxmlformats.org/officeDocument/2006/relationships/settings" Target="settings.xml"/><Relationship Id="rId21" Type="http://schemas.openxmlformats.org/officeDocument/2006/relationships/hyperlink" Target="http://www.nesa.fi/publications/" TargetMode="External"/><Relationship Id="rId34" Type="http://schemas.openxmlformats.org/officeDocument/2006/relationships/hyperlink" Target="http://www.formin.fi" TargetMode="External"/><Relationship Id="rId42" Type="http://schemas.openxmlformats.org/officeDocument/2006/relationships/hyperlink" Target="http://www.unisdr.org/2005/mdgs-drr/national-reports/Finland-report.pdf" TargetMode="External"/><Relationship Id="rId7" Type="http://schemas.openxmlformats.org/officeDocument/2006/relationships/image" Target="media/image1.png"/><Relationship Id="rId12" Type="http://schemas.openxmlformats.org/officeDocument/2006/relationships/hyperlink" Target="http://www.emdat.be" TargetMode="External"/><Relationship Id="rId17" Type="http://schemas.openxmlformats.org/officeDocument/2006/relationships/image" Target="media/image7.emf"/><Relationship Id="rId25" Type="http://schemas.openxmlformats.org/officeDocument/2006/relationships/hyperlink" Target="http://www.helcom.fi/" TargetMode="External"/><Relationship Id="rId33" Type="http://schemas.openxmlformats.org/officeDocument/2006/relationships/hyperlink" Target="http://www.intermin.fi/" TargetMode="External"/><Relationship Id="rId38" Type="http://schemas.openxmlformats.org/officeDocument/2006/relationships/hyperlink" Target="http://vnk.fi/etusivu/en.jsp" TargetMode="External"/><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hyperlink" Target="http://www.syke.fi/en-US/Research__Development/Research_and_development_projects/Projects/Winter_navigation_risks_and_oil_contingency_plan_WINOIL" TargetMode="External"/><Relationship Id="rId29" Type="http://schemas.openxmlformats.org/officeDocument/2006/relationships/hyperlink" Target="http://www.syke.fi/en-US" TargetMode="External"/><Relationship Id="rId41" Type="http://schemas.openxmlformats.org/officeDocument/2006/relationships/hyperlink" Target="http://ec.europa.eu/echo/files/civil_protection/vademecum/fi/2-fi.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orldriskreport.com/" TargetMode="External"/><Relationship Id="rId24" Type="http://schemas.openxmlformats.org/officeDocument/2006/relationships/hyperlink" Target="http://www.arctic-council.org/index.php/en/" TargetMode="External"/><Relationship Id="rId32" Type="http://schemas.openxmlformats.org/officeDocument/2006/relationships/hyperlink" Target="http://www.environment.fi/en-US" TargetMode="External"/><Relationship Id="rId37" Type="http://schemas.openxmlformats.org/officeDocument/2006/relationships/hyperlink" Target="http://www.nesa.fi/security-of-supply/" TargetMode="External"/><Relationship Id="rId40" Type="http://schemas.openxmlformats.org/officeDocument/2006/relationships/hyperlink" Target="http://www.erillisverkot.fi/en/erillisverkot/home_page/"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c.europa.eu/echo/files/civil_protection/vademecum/fi/2-fi-1.html" TargetMode="External"/><Relationship Id="rId23" Type="http://schemas.openxmlformats.org/officeDocument/2006/relationships/hyperlink" Target="http://www.arctic-council.org/eppr/oil-agreement-operational-guidelines/" TargetMode="External"/><Relationship Id="rId28" Type="http://schemas.openxmlformats.org/officeDocument/2006/relationships/hyperlink" Target="http://www.balticsea-region-strategy.eu/" TargetMode="External"/><Relationship Id="rId36" Type="http://schemas.openxmlformats.org/officeDocument/2006/relationships/hyperlink" Target="http://www.yhteiskunnanturvallisuus.fi/en" TargetMode="External"/><Relationship Id="rId10" Type="http://schemas.openxmlformats.org/officeDocument/2006/relationships/hyperlink" Target="http://www.intermin.fi/en/ministry/the_flag_and_arms_of_finland" TargetMode="External"/><Relationship Id="rId19" Type="http://schemas.openxmlformats.org/officeDocument/2006/relationships/image" Target="media/image8.emf"/><Relationship Id="rId31" Type="http://schemas.openxmlformats.org/officeDocument/2006/relationships/hyperlink" Target="http://paikkatieto.ymparisto.fi/Html5Viewer_2_2/Index.html?configBase=http://paikkatieto.ymparisto.fi/Geocortex/Essentials/REST/sites/TulvakarttapalveluEN/viewers/HTML5220/virtualdirectory/Resources/Config/Default"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5.jpeg"/><Relationship Id="rId22" Type="http://schemas.openxmlformats.org/officeDocument/2006/relationships/hyperlink" Target="http://www.norway.org.np/PageFiles/368350/Common_Nordic_contingency_plan_MASTER_june_2010.pdf" TargetMode="External"/><Relationship Id="rId27" Type="http://schemas.openxmlformats.org/officeDocument/2006/relationships/hyperlink" Target="http://www.pelastusopisto.fi/" TargetMode="External"/><Relationship Id="rId30" Type="http://schemas.openxmlformats.org/officeDocument/2006/relationships/hyperlink" Target="http://en.ilmatieteenlaitos.fi/" TargetMode="External"/><Relationship Id="rId35" Type="http://schemas.openxmlformats.org/officeDocument/2006/relationships/hyperlink" Target="http://www.defmin.fi" TargetMode="External"/><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www.intermin.fi/en/ministry/organisation/department_for_rescue_services" TargetMode="External"/><Relationship Id="rId13" Type="http://schemas.openxmlformats.org/officeDocument/2006/relationships/hyperlink" Target="http://www.ifrc.org/en/what-we-do/disaster-law/news/europe/" TargetMode="External"/><Relationship Id="rId3" Type="http://schemas.openxmlformats.org/officeDocument/2006/relationships/hyperlink" Target="http://blog.fmi.fi/nordmet/node/21" TargetMode="External"/><Relationship Id="rId7" Type="http://schemas.openxmlformats.org/officeDocument/2006/relationships/hyperlink" Target="http://ec.europa.eu/echo/files/civil_protection/vademecum/fi/2-fi-2.html" TargetMode="External"/><Relationship Id="rId12" Type="http://schemas.openxmlformats.org/officeDocument/2006/relationships/hyperlink" Target="http://ec.europa.eu/echo/files/civil_protection/vademecum/fi/2-fi-2.html" TargetMode="External"/><Relationship Id="rId2" Type="http://schemas.openxmlformats.org/officeDocument/2006/relationships/hyperlink" Target="http://baltrad.eu/" TargetMode="External"/><Relationship Id="rId16" Type="http://schemas.openxmlformats.org/officeDocument/2006/relationships/hyperlink" Target="https://www.redcross.fi/node/1556/what-finnish-red-cross/logistics-centre-finnish-red-cross" TargetMode="External"/><Relationship Id="rId1" Type="http://schemas.openxmlformats.org/officeDocument/2006/relationships/hyperlink" Target="http://www.hirlam.org/" TargetMode="External"/><Relationship Id="rId6" Type="http://schemas.openxmlformats.org/officeDocument/2006/relationships/hyperlink" Target="http://www.yhteiskunnanturvallisuus.fi/en/vital-functions" TargetMode="External"/><Relationship Id="rId11" Type="http://schemas.openxmlformats.org/officeDocument/2006/relationships/hyperlink" Target="http://www.arctic-council.org/eppr/about-eppr/" TargetMode="External"/><Relationship Id="rId5" Type="http://schemas.openxmlformats.org/officeDocument/2006/relationships/hyperlink" Target="http://blog.fmi.fi/nordmet/" TargetMode="External"/><Relationship Id="rId15" Type="http://schemas.openxmlformats.org/officeDocument/2006/relationships/hyperlink" Target="http://isar.i112.eu/index.html" TargetMode="External"/><Relationship Id="rId10" Type="http://schemas.openxmlformats.org/officeDocument/2006/relationships/hyperlink" Target="http://www.cmcfinland.fi/en/crisis_management_centre" TargetMode="External"/><Relationship Id="rId4" Type="http://schemas.openxmlformats.org/officeDocument/2006/relationships/hyperlink" Target="http://www.smhi.se/en/weather/2.732/rainfall-radar" TargetMode="External"/><Relationship Id="rId9" Type="http://schemas.openxmlformats.org/officeDocument/2006/relationships/hyperlink" Target="http://www.arctic-council.org/eppr/about-eppr/" TargetMode="External"/><Relationship Id="rId14" Type="http://schemas.openxmlformats.org/officeDocument/2006/relationships/hyperlink" Target="http://www.portofkokkola.fi/safety/guide/?lang=e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56</Pages>
  <Words>16858</Words>
  <Characters>106209</Characters>
  <Application>Microsoft Office Word</Application>
  <DocSecurity>0</DocSecurity>
  <Lines>885</Lines>
  <Paragraphs>245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Ignjatovic Drazen</dc:creator>
  <cp:keywords/>
  <dc:description/>
  <cp:lastModifiedBy>Ignjatovic Drazen</cp:lastModifiedBy>
  <cp:revision>1</cp:revision>
  <dcterms:created xsi:type="dcterms:W3CDTF">2018-11-22T13:00:00Z</dcterms:created>
  <dcterms:modified xsi:type="dcterms:W3CDTF">2018-11-22T13:00:00Z</dcterms:modified>
</cp:coreProperties>
</file>